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A8E9C" w14:textId="6DF83D0C" w:rsidR="001C1DE5" w:rsidRPr="005C524B" w:rsidRDefault="008E1276">
      <w:pPr>
        <w:rPr>
          <w:rFonts w:ascii="Calibri" w:hAnsi="Calibri" w:cs="Calibri"/>
          <w:b/>
          <w:bCs/>
          <w:sz w:val="28"/>
          <w:szCs w:val="28"/>
          <w:lang w:val="en-US"/>
        </w:rPr>
      </w:pPr>
      <w:r>
        <w:rPr>
          <w:rFonts w:ascii="Calibri" w:hAnsi="Calibri" w:cs="Calibri"/>
          <w:b/>
          <w:bCs/>
          <w:sz w:val="28"/>
          <w:szCs w:val="28"/>
          <w:lang w:val="en-US"/>
        </w:rPr>
        <w:t xml:space="preserve">Gatsby Benchmark 4: </w:t>
      </w:r>
      <w:r w:rsidR="00577689">
        <w:rPr>
          <w:rFonts w:ascii="Calibri" w:hAnsi="Calibri" w:cs="Calibri"/>
          <w:b/>
          <w:bCs/>
          <w:sz w:val="28"/>
          <w:szCs w:val="28"/>
          <w:lang w:val="en-US"/>
        </w:rPr>
        <w:t>Careers in the Curriculum</w:t>
      </w:r>
      <w:r w:rsidR="00D24804" w:rsidRPr="005C524B">
        <w:rPr>
          <w:rFonts w:ascii="Calibri" w:hAnsi="Calibri" w:cs="Calibri"/>
          <w:b/>
          <w:bCs/>
          <w:sz w:val="28"/>
          <w:szCs w:val="28"/>
          <w:lang w:val="en-US"/>
        </w:rPr>
        <w:t xml:space="preserve"> Audit Tool</w:t>
      </w:r>
    </w:p>
    <w:p w14:paraId="6468E527" w14:textId="77777777" w:rsidR="007C10D0" w:rsidRPr="00155274" w:rsidRDefault="007C10D0">
      <w:pPr>
        <w:rPr>
          <w:rFonts w:ascii="Calibri" w:hAnsi="Calibri" w:cs="Calibri"/>
          <w:sz w:val="20"/>
          <w:szCs w:val="20"/>
        </w:rPr>
      </w:pPr>
      <w:r w:rsidRPr="00155274">
        <w:rPr>
          <w:rFonts w:ascii="Calibri" w:hAnsi="Calibri" w:cs="Calibri"/>
          <w:sz w:val="20"/>
          <w:szCs w:val="20"/>
        </w:rPr>
        <w:t>To support a whole-school approach to careers education, Subject Leads and Teachers can use the following tool to audit their subject area. This will help identify where careers content is currently being delivered, highlight any gaps, and uncover opportunities to further enhance careers-related learning.</w:t>
      </w:r>
    </w:p>
    <w:p w14:paraId="397D9ED3" w14:textId="77777777" w:rsidR="00981DA2" w:rsidRDefault="009556E4">
      <w:pPr>
        <w:rPr>
          <w:rFonts w:ascii="Calibri" w:hAnsi="Calibri" w:cs="Calibri"/>
          <w:sz w:val="20"/>
          <w:szCs w:val="20"/>
          <w:lang w:val="en-US"/>
        </w:rPr>
      </w:pPr>
      <w:r w:rsidRPr="00155274">
        <w:rPr>
          <w:rFonts w:ascii="Calibri" w:hAnsi="Calibri" w:cs="Calibri"/>
          <w:sz w:val="20"/>
          <w:szCs w:val="20"/>
          <w:lang w:val="en-US"/>
        </w:rPr>
        <w:t xml:space="preserve">Please rate your subject’s careers provision using the RAG system below. Use the examples to guide your judgement. </w:t>
      </w:r>
      <w:r w:rsidR="007F47BD">
        <w:rPr>
          <w:rFonts w:ascii="Calibri" w:hAnsi="Calibri" w:cs="Calibri"/>
          <w:sz w:val="20"/>
          <w:szCs w:val="20"/>
          <w:lang w:val="en-US"/>
        </w:rPr>
        <w:t xml:space="preserve">Once </w:t>
      </w:r>
      <w:r w:rsidR="0094689E">
        <w:rPr>
          <w:rFonts w:ascii="Calibri" w:hAnsi="Calibri" w:cs="Calibri"/>
          <w:sz w:val="20"/>
          <w:szCs w:val="20"/>
          <w:lang w:val="en-US"/>
        </w:rPr>
        <w:t xml:space="preserve">complete, please </w:t>
      </w:r>
      <w:r w:rsidR="00283C76">
        <w:rPr>
          <w:rFonts w:ascii="Calibri" w:hAnsi="Calibri" w:cs="Calibri"/>
          <w:sz w:val="20"/>
          <w:szCs w:val="20"/>
          <w:lang w:val="en-US"/>
        </w:rPr>
        <w:t>share</w:t>
      </w:r>
      <w:r w:rsidR="0094689E">
        <w:rPr>
          <w:rFonts w:ascii="Calibri" w:hAnsi="Calibri" w:cs="Calibri"/>
          <w:sz w:val="20"/>
          <w:szCs w:val="20"/>
          <w:lang w:val="en-US"/>
        </w:rPr>
        <w:t xml:space="preserve"> with your Careers Lead.</w:t>
      </w:r>
      <w:r w:rsidR="001A1436">
        <w:rPr>
          <w:rFonts w:ascii="Calibri" w:hAnsi="Calibri" w:cs="Calibri"/>
          <w:sz w:val="20"/>
          <w:szCs w:val="20"/>
          <w:lang w:val="en-US"/>
        </w:rPr>
        <w:t xml:space="preserve"> </w:t>
      </w:r>
    </w:p>
    <w:p w14:paraId="334D3E8C" w14:textId="7B99349D" w:rsidR="00155274" w:rsidRPr="00155274" w:rsidRDefault="001A1436">
      <w:pPr>
        <w:rPr>
          <w:rFonts w:ascii="Calibri" w:hAnsi="Calibri" w:cs="Calibri"/>
          <w:sz w:val="20"/>
          <w:szCs w:val="20"/>
          <w:lang w:val="en-US"/>
        </w:rPr>
      </w:pPr>
      <w:r>
        <w:rPr>
          <w:rFonts w:ascii="Calibri" w:hAnsi="Calibri" w:cs="Calibri"/>
          <w:sz w:val="20"/>
          <w:szCs w:val="20"/>
          <w:lang w:val="en-US"/>
        </w:rPr>
        <w:t xml:space="preserve">Careers Leads only – please </w:t>
      </w:r>
      <w:r w:rsidR="004141B8">
        <w:rPr>
          <w:rFonts w:ascii="Calibri" w:hAnsi="Calibri" w:cs="Calibri"/>
          <w:sz w:val="20"/>
          <w:szCs w:val="20"/>
          <w:lang w:val="en-US"/>
        </w:rPr>
        <w:t xml:space="preserve">use the </w:t>
      </w:r>
      <w:hyperlink r:id="rId10" w:history="1">
        <w:r w:rsidR="00F24216">
          <w:rPr>
            <w:rStyle w:val="Hyperlink"/>
            <w:rFonts w:ascii="Calibri" w:hAnsi="Calibri" w:cs="Calibri"/>
            <w:sz w:val="20"/>
            <w:szCs w:val="20"/>
          </w:rPr>
          <w:t>Department Grouping Tool</w:t>
        </w:r>
      </w:hyperlink>
      <w:r w:rsidR="00F24216">
        <w:rPr>
          <w:rFonts w:ascii="Calibri" w:hAnsi="Calibri" w:cs="Calibri"/>
          <w:sz w:val="20"/>
          <w:szCs w:val="20"/>
          <w:lang w:val="en-US"/>
        </w:rPr>
        <w:t xml:space="preserve"> </w:t>
      </w:r>
      <w:r w:rsidR="00FD7E1E">
        <w:rPr>
          <w:rFonts w:ascii="Calibri" w:hAnsi="Calibri" w:cs="Calibri"/>
          <w:sz w:val="20"/>
          <w:szCs w:val="20"/>
          <w:lang w:val="en-US"/>
        </w:rPr>
        <w:t xml:space="preserve">to </w:t>
      </w:r>
      <w:r w:rsidR="002338DB">
        <w:rPr>
          <w:rFonts w:ascii="Calibri" w:hAnsi="Calibri" w:cs="Calibri"/>
          <w:sz w:val="20"/>
          <w:szCs w:val="20"/>
          <w:lang w:val="en-US"/>
        </w:rPr>
        <w:t>group the subject</w:t>
      </w:r>
      <w:r w:rsidR="00017EEC">
        <w:rPr>
          <w:rFonts w:ascii="Calibri" w:hAnsi="Calibri" w:cs="Calibri"/>
          <w:sz w:val="20"/>
          <w:szCs w:val="20"/>
          <w:lang w:val="en-US"/>
        </w:rPr>
        <w:t xml:space="preserve"> into its </w:t>
      </w:r>
      <w:r w:rsidR="00230C31">
        <w:rPr>
          <w:rFonts w:ascii="Calibri" w:hAnsi="Calibri" w:cs="Calibri"/>
          <w:sz w:val="20"/>
          <w:szCs w:val="20"/>
          <w:lang w:val="en-US"/>
        </w:rPr>
        <w:t xml:space="preserve">corresponding department </w:t>
      </w:r>
      <w:r w:rsidR="00B32EC1">
        <w:rPr>
          <w:rFonts w:ascii="Calibri" w:hAnsi="Calibri" w:cs="Calibri"/>
          <w:sz w:val="20"/>
          <w:szCs w:val="20"/>
          <w:lang w:val="en-US"/>
        </w:rPr>
        <w:t>to support Compass</w:t>
      </w:r>
      <w:r w:rsidR="005529AD">
        <w:rPr>
          <w:rFonts w:ascii="Calibri" w:hAnsi="Calibri" w:cs="Calibri"/>
          <w:sz w:val="20"/>
          <w:szCs w:val="20"/>
          <w:lang w:val="en-US"/>
        </w:rPr>
        <w:t xml:space="preserve"> evaluations. </w:t>
      </w:r>
      <w:r w:rsidR="002338DB">
        <w:rPr>
          <w:rFonts w:ascii="Calibri" w:hAnsi="Calibri" w:cs="Calibri"/>
          <w:sz w:val="20"/>
          <w:szCs w:val="20"/>
          <w:lang w:val="en-US"/>
        </w:rPr>
        <w:t xml:space="preserve"> </w:t>
      </w:r>
      <w:r w:rsidR="0094689E">
        <w:rPr>
          <w:rFonts w:ascii="Calibri" w:hAnsi="Calibri" w:cs="Calibri"/>
          <w:sz w:val="20"/>
          <w:szCs w:val="20"/>
          <w:lang w:val="en-US"/>
        </w:rPr>
        <w:t xml:space="preserve"> </w:t>
      </w:r>
    </w:p>
    <w:p w14:paraId="72ACEF42" w14:textId="26666084" w:rsidR="009556E4" w:rsidRPr="00155274" w:rsidRDefault="00F51E28">
      <w:pPr>
        <w:rPr>
          <w:rFonts w:ascii="Calibri" w:hAnsi="Calibri" w:cs="Calibri"/>
          <w:b/>
          <w:bCs/>
          <w:sz w:val="20"/>
          <w:szCs w:val="20"/>
          <w:lang w:val="en-US"/>
        </w:rPr>
      </w:pPr>
      <w:r w:rsidRPr="00155274">
        <w:rPr>
          <w:rFonts w:ascii="Calibri" w:hAnsi="Calibri" w:cs="Calibri"/>
          <w:b/>
          <w:bCs/>
          <w:sz w:val="20"/>
          <w:szCs w:val="20"/>
          <w:lang w:val="en-US"/>
        </w:rPr>
        <w:t xml:space="preserve">Subject Name: </w:t>
      </w:r>
      <w:r w:rsidR="005373F9" w:rsidRPr="00155274">
        <w:rPr>
          <w:rFonts w:ascii="Calibri" w:hAnsi="Calibri" w:cs="Calibri"/>
          <w:b/>
          <w:bCs/>
          <w:sz w:val="20"/>
          <w:szCs w:val="20"/>
          <w:lang w:val="en-US"/>
        </w:rPr>
        <w:tab/>
      </w:r>
      <w:r w:rsidR="005373F9" w:rsidRPr="00155274">
        <w:rPr>
          <w:rFonts w:ascii="Calibri" w:hAnsi="Calibri" w:cs="Calibri"/>
          <w:b/>
          <w:bCs/>
          <w:sz w:val="20"/>
          <w:szCs w:val="20"/>
          <w:lang w:val="en-US"/>
        </w:rPr>
        <w:tab/>
      </w:r>
      <w:r w:rsidR="005373F9" w:rsidRPr="00155274">
        <w:rPr>
          <w:rFonts w:ascii="Calibri" w:hAnsi="Calibri" w:cs="Calibri"/>
          <w:b/>
          <w:bCs/>
          <w:sz w:val="20"/>
          <w:szCs w:val="20"/>
          <w:lang w:val="en-US"/>
        </w:rPr>
        <w:tab/>
      </w:r>
      <w:r w:rsidR="005373F9" w:rsidRPr="00155274">
        <w:rPr>
          <w:rFonts w:ascii="Calibri" w:hAnsi="Calibri" w:cs="Calibri"/>
          <w:b/>
          <w:bCs/>
          <w:sz w:val="20"/>
          <w:szCs w:val="20"/>
          <w:lang w:val="en-US"/>
        </w:rPr>
        <w:tab/>
      </w:r>
      <w:r w:rsidR="0045208E">
        <w:rPr>
          <w:rFonts w:ascii="Calibri" w:hAnsi="Calibri" w:cs="Calibri"/>
          <w:b/>
          <w:bCs/>
          <w:sz w:val="20"/>
          <w:szCs w:val="20"/>
          <w:lang w:val="en-US"/>
        </w:rPr>
        <w:tab/>
      </w:r>
      <w:r w:rsidR="0045208E">
        <w:rPr>
          <w:rFonts w:ascii="Calibri" w:hAnsi="Calibri" w:cs="Calibri"/>
          <w:b/>
          <w:bCs/>
          <w:sz w:val="20"/>
          <w:szCs w:val="20"/>
          <w:lang w:val="en-US"/>
        </w:rPr>
        <w:tab/>
        <w:t xml:space="preserve">Department </w:t>
      </w:r>
      <w:r w:rsidR="007438BC">
        <w:rPr>
          <w:rFonts w:ascii="Calibri" w:hAnsi="Calibri" w:cs="Calibri"/>
          <w:b/>
          <w:bCs/>
          <w:sz w:val="20"/>
          <w:szCs w:val="20"/>
          <w:lang w:val="en-US"/>
        </w:rPr>
        <w:t>Group</w:t>
      </w:r>
      <w:r w:rsidR="0045208E">
        <w:rPr>
          <w:rFonts w:ascii="Calibri" w:hAnsi="Calibri" w:cs="Calibri"/>
          <w:b/>
          <w:bCs/>
          <w:sz w:val="20"/>
          <w:szCs w:val="20"/>
          <w:lang w:val="en-US"/>
        </w:rPr>
        <w:t>:</w:t>
      </w:r>
      <w:r w:rsidR="005373F9" w:rsidRPr="00155274">
        <w:rPr>
          <w:rFonts w:ascii="Calibri" w:hAnsi="Calibri" w:cs="Calibri"/>
          <w:b/>
          <w:bCs/>
          <w:sz w:val="20"/>
          <w:szCs w:val="20"/>
          <w:lang w:val="en-US"/>
        </w:rPr>
        <w:tab/>
      </w:r>
      <w:r w:rsidR="005373F9" w:rsidRPr="00155274">
        <w:rPr>
          <w:rFonts w:ascii="Calibri" w:hAnsi="Calibri" w:cs="Calibri"/>
          <w:b/>
          <w:bCs/>
          <w:sz w:val="20"/>
          <w:szCs w:val="20"/>
          <w:lang w:val="en-US"/>
        </w:rPr>
        <w:tab/>
        <w:t xml:space="preserve"> </w:t>
      </w:r>
    </w:p>
    <w:p w14:paraId="5084EA27" w14:textId="77777777" w:rsidR="00E56E71" w:rsidRPr="009C7609" w:rsidRDefault="00E56E71">
      <w:pPr>
        <w:rPr>
          <w:rFonts w:ascii="Calibri" w:hAnsi="Calibri" w:cs="Calibri"/>
          <w:b/>
          <w:bCs/>
          <w:sz w:val="22"/>
          <w:szCs w:val="22"/>
          <w:lang w:val="en-US"/>
        </w:rPr>
      </w:pPr>
    </w:p>
    <w:tbl>
      <w:tblPr>
        <w:tblStyle w:val="TableGrid"/>
        <w:tblW w:w="15451" w:type="dxa"/>
        <w:tblInd w:w="-714" w:type="dxa"/>
        <w:tblLook w:val="04A0" w:firstRow="1" w:lastRow="0" w:firstColumn="1" w:lastColumn="0" w:noHBand="0" w:noVBand="1"/>
      </w:tblPr>
      <w:tblGrid>
        <w:gridCol w:w="1349"/>
        <w:gridCol w:w="1828"/>
        <w:gridCol w:w="1966"/>
        <w:gridCol w:w="1948"/>
        <w:gridCol w:w="992"/>
        <w:gridCol w:w="3552"/>
        <w:gridCol w:w="3816"/>
      </w:tblGrid>
      <w:tr w:rsidR="003B0206" w:rsidRPr="003F525F" w14:paraId="2CDDC487" w14:textId="5FCBBC19" w:rsidTr="604C4E23">
        <w:trPr>
          <w:trHeight w:val="540"/>
        </w:trPr>
        <w:tc>
          <w:tcPr>
            <w:tcW w:w="1349" w:type="dxa"/>
            <w:shd w:val="clear" w:color="auto" w:fill="E8E8E8" w:themeFill="background2"/>
          </w:tcPr>
          <w:p w14:paraId="24617D61" w14:textId="24F13FB9" w:rsidR="00AA398F" w:rsidRPr="00E56E71" w:rsidRDefault="00AA398F">
            <w:pPr>
              <w:rPr>
                <w:rFonts w:ascii="Calibri" w:hAnsi="Calibri" w:cs="Calibri"/>
                <w:b/>
                <w:bCs/>
                <w:sz w:val="20"/>
                <w:szCs w:val="20"/>
                <w:lang w:val="en-US"/>
              </w:rPr>
            </w:pPr>
            <w:r w:rsidRPr="00E56E71">
              <w:rPr>
                <w:rFonts w:ascii="Calibri" w:hAnsi="Calibri" w:cs="Calibri"/>
                <w:b/>
                <w:bCs/>
                <w:sz w:val="20"/>
                <w:szCs w:val="20"/>
                <w:lang w:val="en-US"/>
              </w:rPr>
              <w:t>Audit Area</w:t>
            </w:r>
          </w:p>
        </w:tc>
        <w:tc>
          <w:tcPr>
            <w:tcW w:w="1828" w:type="dxa"/>
            <w:shd w:val="clear" w:color="auto" w:fill="FF4747"/>
          </w:tcPr>
          <w:p w14:paraId="4B13C4E2" w14:textId="3BA51ACA" w:rsidR="00AA398F" w:rsidRPr="00E56E71" w:rsidRDefault="00AA398F" w:rsidP="006745C7">
            <w:pPr>
              <w:rPr>
                <w:rFonts w:ascii="Calibri" w:hAnsi="Calibri" w:cs="Calibri"/>
                <w:b/>
                <w:bCs/>
                <w:sz w:val="20"/>
                <w:szCs w:val="20"/>
                <w:lang w:val="en-US"/>
              </w:rPr>
            </w:pPr>
            <w:r w:rsidRPr="00E56E71">
              <w:rPr>
                <w:rFonts w:ascii="Calibri" w:hAnsi="Calibri" w:cs="Calibri"/>
                <w:b/>
                <w:bCs/>
                <w:sz w:val="20"/>
                <w:szCs w:val="20"/>
                <w:lang w:val="en-US"/>
              </w:rPr>
              <w:t xml:space="preserve">Red – Not </w:t>
            </w:r>
            <w:r w:rsidR="00EA1F72">
              <w:rPr>
                <w:rFonts w:ascii="Calibri" w:hAnsi="Calibri" w:cs="Calibri"/>
                <w:b/>
                <w:bCs/>
                <w:sz w:val="20"/>
                <w:szCs w:val="20"/>
                <w:lang w:val="en-US"/>
              </w:rPr>
              <w:t>y</w:t>
            </w:r>
            <w:r w:rsidRPr="00E56E71">
              <w:rPr>
                <w:rFonts w:ascii="Calibri" w:hAnsi="Calibri" w:cs="Calibri"/>
                <w:b/>
                <w:bCs/>
                <w:sz w:val="20"/>
                <w:szCs w:val="20"/>
                <w:lang w:val="en-US"/>
              </w:rPr>
              <w:t>et</w:t>
            </w:r>
            <w:r w:rsidR="006745C7">
              <w:rPr>
                <w:rFonts w:ascii="Calibri" w:hAnsi="Calibri" w:cs="Calibri"/>
                <w:b/>
                <w:bCs/>
                <w:sz w:val="20"/>
                <w:szCs w:val="20"/>
                <w:lang w:val="en-US"/>
              </w:rPr>
              <w:t xml:space="preserve"> </w:t>
            </w:r>
            <w:r w:rsidRPr="00E56E71">
              <w:rPr>
                <w:rFonts w:ascii="Calibri" w:hAnsi="Calibri" w:cs="Calibri"/>
                <w:b/>
                <w:bCs/>
                <w:sz w:val="20"/>
                <w:szCs w:val="20"/>
                <w:lang w:val="en-US"/>
              </w:rPr>
              <w:t xml:space="preserve">in </w:t>
            </w:r>
            <w:r w:rsidR="00EA1F72">
              <w:rPr>
                <w:rFonts w:ascii="Calibri" w:hAnsi="Calibri" w:cs="Calibri"/>
                <w:b/>
                <w:bCs/>
                <w:sz w:val="20"/>
                <w:szCs w:val="20"/>
                <w:lang w:val="en-US"/>
              </w:rPr>
              <w:t>p</w:t>
            </w:r>
            <w:r w:rsidRPr="00E56E71">
              <w:rPr>
                <w:rFonts w:ascii="Calibri" w:hAnsi="Calibri" w:cs="Calibri"/>
                <w:b/>
                <w:bCs/>
                <w:sz w:val="20"/>
                <w:szCs w:val="20"/>
                <w:lang w:val="en-US"/>
              </w:rPr>
              <w:t>lace</w:t>
            </w:r>
          </w:p>
        </w:tc>
        <w:tc>
          <w:tcPr>
            <w:tcW w:w="1966" w:type="dxa"/>
            <w:shd w:val="clear" w:color="auto" w:fill="FFC000"/>
          </w:tcPr>
          <w:p w14:paraId="5074F95A" w14:textId="52848193" w:rsidR="00AA398F" w:rsidRPr="00E56E71" w:rsidRDefault="00AA398F" w:rsidP="006745C7">
            <w:pPr>
              <w:rPr>
                <w:rFonts w:ascii="Calibri" w:hAnsi="Calibri" w:cs="Calibri"/>
                <w:b/>
                <w:bCs/>
                <w:sz w:val="20"/>
                <w:szCs w:val="20"/>
                <w:lang w:val="en-US"/>
              </w:rPr>
            </w:pPr>
            <w:r w:rsidRPr="00E56E71">
              <w:rPr>
                <w:rFonts w:ascii="Calibri" w:hAnsi="Calibri" w:cs="Calibri"/>
                <w:b/>
                <w:bCs/>
                <w:sz w:val="20"/>
                <w:szCs w:val="20"/>
                <w:lang w:val="en-US"/>
              </w:rPr>
              <w:t>Amber – Developing</w:t>
            </w:r>
          </w:p>
        </w:tc>
        <w:tc>
          <w:tcPr>
            <w:tcW w:w="1948" w:type="dxa"/>
            <w:shd w:val="clear" w:color="auto" w:fill="D9F2D0" w:themeFill="accent6" w:themeFillTint="33"/>
          </w:tcPr>
          <w:p w14:paraId="328ED713" w14:textId="047333E7" w:rsidR="00AA398F" w:rsidRPr="00E56E71" w:rsidRDefault="00AA398F">
            <w:pPr>
              <w:rPr>
                <w:rFonts w:ascii="Calibri" w:hAnsi="Calibri" w:cs="Calibri"/>
                <w:b/>
                <w:bCs/>
                <w:sz w:val="20"/>
                <w:szCs w:val="20"/>
                <w:lang w:val="en-US"/>
              </w:rPr>
            </w:pPr>
            <w:r w:rsidRPr="00E56E71">
              <w:rPr>
                <w:rFonts w:ascii="Calibri" w:hAnsi="Calibri" w:cs="Calibri"/>
                <w:b/>
                <w:bCs/>
                <w:sz w:val="20"/>
                <w:szCs w:val="20"/>
                <w:lang w:val="en-US"/>
              </w:rPr>
              <w:t xml:space="preserve">Green – Well </w:t>
            </w:r>
            <w:r w:rsidR="006745C7">
              <w:rPr>
                <w:rFonts w:ascii="Calibri" w:hAnsi="Calibri" w:cs="Calibri"/>
                <w:b/>
                <w:bCs/>
                <w:sz w:val="20"/>
                <w:szCs w:val="20"/>
                <w:lang w:val="en-US"/>
              </w:rPr>
              <w:t>e</w:t>
            </w:r>
            <w:r w:rsidRPr="00E56E71">
              <w:rPr>
                <w:rFonts w:ascii="Calibri" w:hAnsi="Calibri" w:cs="Calibri"/>
                <w:b/>
                <w:bCs/>
                <w:sz w:val="20"/>
                <w:szCs w:val="20"/>
                <w:lang w:val="en-US"/>
              </w:rPr>
              <w:t>mbedded</w:t>
            </w:r>
          </w:p>
        </w:tc>
        <w:tc>
          <w:tcPr>
            <w:tcW w:w="992" w:type="dxa"/>
            <w:shd w:val="clear" w:color="auto" w:fill="E8E8E8" w:themeFill="background2"/>
          </w:tcPr>
          <w:p w14:paraId="3CC52ACA" w14:textId="22FBDA88" w:rsidR="00AA398F" w:rsidRPr="00E56E71" w:rsidRDefault="2ABF2D7B" w:rsidP="0FC3566D">
            <w:r w:rsidRPr="0FC3566D">
              <w:rPr>
                <w:rFonts w:ascii="Calibri" w:hAnsi="Calibri" w:cs="Calibri"/>
                <w:b/>
                <w:bCs/>
                <w:noProof/>
                <w:sz w:val="20"/>
                <w:szCs w:val="20"/>
                <w:lang w:val="en-US"/>
              </w:rPr>
              <w:t>RAG Rating</w:t>
            </w:r>
          </w:p>
        </w:tc>
        <w:tc>
          <w:tcPr>
            <w:tcW w:w="3552" w:type="dxa"/>
            <w:shd w:val="clear" w:color="auto" w:fill="E8E8E8" w:themeFill="background2"/>
          </w:tcPr>
          <w:p w14:paraId="10E02A21" w14:textId="77777777" w:rsidR="00AA398F" w:rsidRDefault="00AA398F">
            <w:pPr>
              <w:rPr>
                <w:rFonts w:ascii="Calibri" w:hAnsi="Calibri" w:cs="Calibri"/>
                <w:b/>
                <w:bCs/>
                <w:noProof/>
                <w:sz w:val="20"/>
                <w:szCs w:val="20"/>
                <w:lang w:val="en-US"/>
              </w:rPr>
            </w:pPr>
            <w:r w:rsidRPr="00E56E71">
              <w:rPr>
                <w:rFonts w:ascii="Calibri" w:hAnsi="Calibri" w:cs="Calibri"/>
                <w:b/>
                <w:bCs/>
                <w:noProof/>
                <w:sz w:val="20"/>
                <w:szCs w:val="20"/>
                <w:lang w:val="en-US"/>
              </w:rPr>
              <w:t>Evidence / Examples</w:t>
            </w:r>
          </w:p>
          <w:p w14:paraId="66A6912C" w14:textId="6BD0CBB1" w:rsidR="00CC2C34" w:rsidRPr="00E56E71" w:rsidRDefault="00CC2C34">
            <w:pPr>
              <w:rPr>
                <w:rFonts w:ascii="Calibri" w:hAnsi="Calibri" w:cs="Calibri"/>
                <w:b/>
                <w:bCs/>
                <w:noProof/>
                <w:sz w:val="20"/>
                <w:szCs w:val="20"/>
                <w:lang w:val="en-US"/>
              </w:rPr>
            </w:pPr>
            <w:r w:rsidRPr="00ED4040">
              <w:rPr>
                <w:rFonts w:ascii="Calibri" w:hAnsi="Calibri" w:cs="Calibri"/>
                <w:b/>
                <w:bCs/>
                <w:i/>
                <w:iCs/>
                <w:noProof/>
                <w:sz w:val="18"/>
                <w:szCs w:val="18"/>
                <w:lang w:val="en-US"/>
              </w:rPr>
              <w:t xml:space="preserve">Evidence may be </w:t>
            </w:r>
            <w:r w:rsidR="00CD470B" w:rsidRPr="00ED4040">
              <w:rPr>
                <w:rFonts w:ascii="Calibri" w:hAnsi="Calibri" w:cs="Calibri"/>
                <w:b/>
                <w:bCs/>
                <w:i/>
                <w:iCs/>
                <w:noProof/>
                <w:sz w:val="18"/>
                <w:szCs w:val="18"/>
                <w:lang w:val="en-US"/>
              </w:rPr>
              <w:t>gathered via quality assurance methods e.g. learning walks, book</w:t>
            </w:r>
            <w:r w:rsidR="00ED4040" w:rsidRPr="00ED4040">
              <w:rPr>
                <w:rFonts w:ascii="Calibri" w:hAnsi="Calibri" w:cs="Calibri"/>
                <w:b/>
                <w:bCs/>
                <w:i/>
                <w:iCs/>
                <w:noProof/>
                <w:sz w:val="18"/>
                <w:szCs w:val="18"/>
                <w:lang w:val="en-US"/>
              </w:rPr>
              <w:t>/</w:t>
            </w:r>
            <w:r w:rsidR="0093585A" w:rsidRPr="00ED4040">
              <w:rPr>
                <w:rFonts w:ascii="Calibri" w:hAnsi="Calibri" w:cs="Calibri"/>
                <w:b/>
                <w:bCs/>
                <w:i/>
                <w:iCs/>
                <w:noProof/>
                <w:sz w:val="18"/>
                <w:szCs w:val="18"/>
                <w:lang w:val="en-US"/>
              </w:rPr>
              <w:t>planning scruitinies</w:t>
            </w:r>
            <w:r w:rsidR="00ED4040" w:rsidRPr="00ED4040">
              <w:rPr>
                <w:rFonts w:ascii="Calibri" w:hAnsi="Calibri" w:cs="Calibri"/>
                <w:b/>
                <w:bCs/>
                <w:i/>
                <w:iCs/>
                <w:noProof/>
                <w:sz w:val="18"/>
                <w:szCs w:val="18"/>
                <w:lang w:val="en-US"/>
              </w:rPr>
              <w:t>, departmental discussions etc</w:t>
            </w:r>
            <w:r w:rsidR="00ED4040" w:rsidRPr="00ED4040">
              <w:rPr>
                <w:rFonts w:ascii="Calibri" w:hAnsi="Calibri" w:cs="Calibri"/>
                <w:b/>
                <w:bCs/>
                <w:noProof/>
                <w:sz w:val="18"/>
                <w:szCs w:val="18"/>
                <w:lang w:val="en-US"/>
              </w:rPr>
              <w:t>.</w:t>
            </w:r>
          </w:p>
        </w:tc>
        <w:tc>
          <w:tcPr>
            <w:tcW w:w="3816" w:type="dxa"/>
            <w:shd w:val="clear" w:color="auto" w:fill="E8E8E8" w:themeFill="background2"/>
          </w:tcPr>
          <w:p w14:paraId="25FBFC4D" w14:textId="19F124A0" w:rsidR="00AA398F" w:rsidRPr="00E56E71" w:rsidRDefault="000A6084">
            <w:pPr>
              <w:rPr>
                <w:rFonts w:ascii="Calibri" w:hAnsi="Calibri" w:cs="Calibri"/>
                <w:b/>
                <w:bCs/>
                <w:noProof/>
                <w:sz w:val="20"/>
                <w:szCs w:val="20"/>
                <w:lang w:val="en-US"/>
              </w:rPr>
            </w:pPr>
            <w:r w:rsidRPr="00E56E71">
              <w:rPr>
                <w:rFonts w:ascii="Calibri" w:hAnsi="Calibri" w:cs="Calibri"/>
                <w:b/>
                <w:bCs/>
                <w:noProof/>
                <w:sz w:val="20"/>
                <w:szCs w:val="20"/>
                <w:lang w:val="en-US"/>
              </w:rPr>
              <w:t>Actions / Next Steps</w:t>
            </w:r>
          </w:p>
        </w:tc>
      </w:tr>
      <w:tr w:rsidR="009556E4" w:rsidRPr="003F525F" w14:paraId="15CCD06A" w14:textId="2276D37A" w:rsidTr="604C4E23">
        <w:tc>
          <w:tcPr>
            <w:tcW w:w="1349" w:type="dxa"/>
            <w:shd w:val="clear" w:color="auto" w:fill="E8E8E8" w:themeFill="background2"/>
          </w:tcPr>
          <w:p w14:paraId="2D73BDAB" w14:textId="77777777" w:rsidR="00AA398F" w:rsidRPr="00E56E71" w:rsidRDefault="00AA398F">
            <w:pPr>
              <w:rPr>
                <w:rFonts w:ascii="Calibri" w:hAnsi="Calibri" w:cs="Calibri"/>
                <w:b/>
                <w:bCs/>
                <w:sz w:val="20"/>
                <w:szCs w:val="20"/>
                <w:lang w:val="en-US"/>
              </w:rPr>
            </w:pPr>
            <w:r w:rsidRPr="00E56E71">
              <w:rPr>
                <w:rFonts w:ascii="Calibri" w:hAnsi="Calibri" w:cs="Calibri"/>
                <w:b/>
                <w:bCs/>
                <w:sz w:val="20"/>
                <w:szCs w:val="20"/>
                <w:lang w:val="en-US"/>
              </w:rPr>
              <w:t>Curriculum links to careers</w:t>
            </w:r>
          </w:p>
          <w:p w14:paraId="53A3E7E0" w14:textId="77777777" w:rsidR="00AA398F" w:rsidRPr="00E56E71" w:rsidRDefault="00AA398F">
            <w:pPr>
              <w:rPr>
                <w:rFonts w:ascii="Calibri" w:hAnsi="Calibri" w:cs="Calibri"/>
                <w:b/>
                <w:bCs/>
                <w:sz w:val="20"/>
                <w:szCs w:val="20"/>
                <w:lang w:val="en-US"/>
              </w:rPr>
            </w:pPr>
          </w:p>
          <w:p w14:paraId="652EEC3A" w14:textId="77777777" w:rsidR="00AA398F" w:rsidRPr="00E56E71" w:rsidRDefault="00AA398F">
            <w:pPr>
              <w:rPr>
                <w:rFonts w:ascii="Calibri" w:hAnsi="Calibri" w:cs="Calibri"/>
                <w:b/>
                <w:bCs/>
                <w:sz w:val="20"/>
                <w:szCs w:val="20"/>
                <w:lang w:val="en-US"/>
              </w:rPr>
            </w:pPr>
          </w:p>
          <w:p w14:paraId="533554E7" w14:textId="77777777" w:rsidR="00AA398F" w:rsidRPr="00E56E71" w:rsidRDefault="00AA398F">
            <w:pPr>
              <w:rPr>
                <w:rFonts w:ascii="Calibri" w:hAnsi="Calibri" w:cs="Calibri"/>
                <w:b/>
                <w:bCs/>
                <w:sz w:val="20"/>
                <w:szCs w:val="20"/>
                <w:lang w:val="en-US"/>
              </w:rPr>
            </w:pPr>
          </w:p>
          <w:p w14:paraId="52C9339A" w14:textId="522A7458" w:rsidR="00AA398F" w:rsidRPr="00E56E71" w:rsidRDefault="00AA398F">
            <w:pPr>
              <w:rPr>
                <w:rFonts w:ascii="Calibri" w:hAnsi="Calibri" w:cs="Calibri"/>
                <w:b/>
                <w:bCs/>
                <w:sz w:val="20"/>
                <w:szCs w:val="20"/>
                <w:lang w:val="en-US"/>
              </w:rPr>
            </w:pPr>
          </w:p>
        </w:tc>
        <w:tc>
          <w:tcPr>
            <w:tcW w:w="1828" w:type="dxa"/>
          </w:tcPr>
          <w:p w14:paraId="0BCD7C81" w14:textId="0A755755" w:rsidR="00AA398F" w:rsidRPr="00E56E71" w:rsidRDefault="00AA398F">
            <w:pPr>
              <w:rPr>
                <w:rFonts w:ascii="Calibri" w:hAnsi="Calibri" w:cs="Calibri"/>
                <w:sz w:val="20"/>
                <w:szCs w:val="20"/>
                <w:lang w:val="en-US"/>
              </w:rPr>
            </w:pPr>
            <w:r w:rsidRPr="00E56E71">
              <w:rPr>
                <w:rFonts w:ascii="Calibri" w:hAnsi="Calibri" w:cs="Calibri"/>
                <w:sz w:val="20"/>
                <w:szCs w:val="20"/>
                <w:lang w:val="en-US"/>
              </w:rPr>
              <w:t xml:space="preserve">No </w:t>
            </w:r>
            <w:proofErr w:type="gramStart"/>
            <w:r w:rsidRPr="00E56E71">
              <w:rPr>
                <w:rFonts w:ascii="Calibri" w:hAnsi="Calibri" w:cs="Calibri"/>
                <w:sz w:val="20"/>
                <w:szCs w:val="20"/>
                <w:lang w:val="en-US"/>
              </w:rPr>
              <w:t>careers</w:t>
            </w:r>
            <w:proofErr w:type="gramEnd"/>
            <w:r w:rsidRPr="00E56E71">
              <w:rPr>
                <w:rFonts w:ascii="Calibri" w:hAnsi="Calibri" w:cs="Calibri"/>
                <w:sz w:val="20"/>
                <w:szCs w:val="20"/>
                <w:lang w:val="en-US"/>
              </w:rPr>
              <w:t>-related content in schemes of work or lessons</w:t>
            </w:r>
            <w:r w:rsidR="00BF5E90" w:rsidRPr="00E56E71">
              <w:rPr>
                <w:rFonts w:ascii="Calibri" w:hAnsi="Calibri" w:cs="Calibri"/>
                <w:sz w:val="20"/>
                <w:szCs w:val="20"/>
                <w:lang w:val="en-US"/>
              </w:rPr>
              <w:t xml:space="preserve">. Careers </w:t>
            </w:r>
            <w:proofErr w:type="gramStart"/>
            <w:r w:rsidR="00BF5E90" w:rsidRPr="00E56E71">
              <w:rPr>
                <w:rFonts w:ascii="Calibri" w:hAnsi="Calibri" w:cs="Calibri"/>
                <w:sz w:val="20"/>
                <w:szCs w:val="20"/>
                <w:lang w:val="en-US"/>
              </w:rPr>
              <w:t>not</w:t>
            </w:r>
            <w:proofErr w:type="gramEnd"/>
            <w:r w:rsidR="00BF5E90" w:rsidRPr="00E56E71">
              <w:rPr>
                <w:rFonts w:ascii="Calibri" w:hAnsi="Calibri" w:cs="Calibri"/>
                <w:sz w:val="20"/>
                <w:szCs w:val="20"/>
                <w:lang w:val="en-US"/>
              </w:rPr>
              <w:t xml:space="preserve"> considered in curriculum design. </w:t>
            </w:r>
          </w:p>
        </w:tc>
        <w:tc>
          <w:tcPr>
            <w:tcW w:w="1966" w:type="dxa"/>
          </w:tcPr>
          <w:p w14:paraId="652E275E" w14:textId="0D3B38AF" w:rsidR="00AA398F" w:rsidRPr="00E56E71" w:rsidRDefault="00444425">
            <w:pPr>
              <w:rPr>
                <w:rFonts w:ascii="Calibri" w:hAnsi="Calibri" w:cs="Calibri"/>
                <w:sz w:val="20"/>
                <w:szCs w:val="20"/>
                <w:lang w:val="en-US"/>
              </w:rPr>
            </w:pPr>
            <w:r w:rsidRPr="00E56E71">
              <w:rPr>
                <w:rFonts w:ascii="Calibri" w:hAnsi="Calibri" w:cs="Calibri"/>
                <w:sz w:val="20"/>
                <w:szCs w:val="20"/>
                <w:lang w:val="en-US"/>
              </w:rPr>
              <w:t>Careers mentioned occasionally (e.g. in one topic</w:t>
            </w:r>
            <w:r w:rsidR="00CB198F" w:rsidRPr="00E56E71">
              <w:rPr>
                <w:rFonts w:ascii="Calibri" w:hAnsi="Calibri" w:cs="Calibri"/>
                <w:sz w:val="20"/>
                <w:szCs w:val="20"/>
                <w:lang w:val="en-US"/>
              </w:rPr>
              <w:t xml:space="preserve"> or unit</w:t>
            </w:r>
            <w:r w:rsidRPr="00E56E71">
              <w:rPr>
                <w:rFonts w:ascii="Calibri" w:hAnsi="Calibri" w:cs="Calibri"/>
                <w:sz w:val="20"/>
                <w:szCs w:val="20"/>
                <w:lang w:val="en-US"/>
              </w:rPr>
              <w:t>)</w:t>
            </w:r>
            <w:r w:rsidR="00AA398F" w:rsidRPr="00E56E71">
              <w:rPr>
                <w:rFonts w:ascii="Calibri" w:hAnsi="Calibri" w:cs="Calibri"/>
                <w:sz w:val="20"/>
                <w:szCs w:val="20"/>
                <w:lang w:val="en-US"/>
              </w:rPr>
              <w:t xml:space="preserve">, some topics link to real-world </w:t>
            </w:r>
            <w:r w:rsidR="00EA1F72" w:rsidRPr="00E56E71">
              <w:rPr>
                <w:rFonts w:ascii="Calibri" w:hAnsi="Calibri" w:cs="Calibri"/>
                <w:sz w:val="20"/>
                <w:szCs w:val="20"/>
                <w:lang w:val="en-US"/>
              </w:rPr>
              <w:t>applications,</w:t>
            </w:r>
            <w:r w:rsidR="003748BF" w:rsidRPr="00E56E71">
              <w:rPr>
                <w:rFonts w:ascii="Calibri" w:hAnsi="Calibri" w:cs="Calibri"/>
                <w:sz w:val="20"/>
                <w:szCs w:val="20"/>
                <w:lang w:val="en-US"/>
              </w:rPr>
              <w:t xml:space="preserve"> but </w:t>
            </w:r>
            <w:r w:rsidR="00CB198F" w:rsidRPr="00E56E71">
              <w:rPr>
                <w:rFonts w:ascii="Calibri" w:hAnsi="Calibri" w:cs="Calibri"/>
                <w:sz w:val="20"/>
                <w:szCs w:val="20"/>
                <w:lang w:val="en-US"/>
              </w:rPr>
              <w:t xml:space="preserve">this is </w:t>
            </w:r>
            <w:r w:rsidR="003748BF" w:rsidRPr="00E56E71">
              <w:rPr>
                <w:rFonts w:ascii="Calibri" w:hAnsi="Calibri" w:cs="Calibri"/>
                <w:sz w:val="20"/>
                <w:szCs w:val="20"/>
                <w:lang w:val="en-US"/>
              </w:rPr>
              <w:t>inconsistent</w:t>
            </w:r>
            <w:r w:rsidR="00BF5E90" w:rsidRPr="00E56E71">
              <w:rPr>
                <w:rFonts w:ascii="Calibri" w:hAnsi="Calibri" w:cs="Calibri"/>
                <w:sz w:val="20"/>
                <w:szCs w:val="20"/>
                <w:lang w:val="en-US"/>
              </w:rPr>
              <w:t>.</w:t>
            </w:r>
          </w:p>
        </w:tc>
        <w:tc>
          <w:tcPr>
            <w:tcW w:w="1948" w:type="dxa"/>
          </w:tcPr>
          <w:p w14:paraId="427D6FBB" w14:textId="77777777" w:rsidR="00BC4FF8" w:rsidRPr="00E56E71" w:rsidRDefault="00AA398F">
            <w:pPr>
              <w:rPr>
                <w:rFonts w:ascii="Calibri" w:hAnsi="Calibri" w:cs="Calibri"/>
                <w:sz w:val="20"/>
                <w:szCs w:val="20"/>
                <w:lang w:val="en-US"/>
              </w:rPr>
            </w:pPr>
            <w:r w:rsidRPr="00E56E71">
              <w:rPr>
                <w:rFonts w:ascii="Calibri" w:hAnsi="Calibri" w:cs="Calibri"/>
                <w:sz w:val="20"/>
                <w:szCs w:val="20"/>
                <w:lang w:val="en-US"/>
              </w:rPr>
              <w:t xml:space="preserve">Careers </w:t>
            </w:r>
            <w:proofErr w:type="gramStart"/>
            <w:r w:rsidRPr="00E56E71">
              <w:rPr>
                <w:rFonts w:ascii="Calibri" w:hAnsi="Calibri" w:cs="Calibri"/>
                <w:sz w:val="20"/>
                <w:szCs w:val="20"/>
                <w:lang w:val="en-US"/>
              </w:rPr>
              <w:t>is</w:t>
            </w:r>
            <w:proofErr w:type="gramEnd"/>
            <w:r w:rsidRPr="00E56E71">
              <w:rPr>
                <w:rFonts w:ascii="Calibri" w:hAnsi="Calibri" w:cs="Calibri"/>
                <w:sz w:val="20"/>
                <w:szCs w:val="20"/>
                <w:lang w:val="en-US"/>
              </w:rPr>
              <w:t xml:space="preserve"> </w:t>
            </w:r>
            <w:r w:rsidR="00CB198F" w:rsidRPr="00E56E71">
              <w:rPr>
                <w:rFonts w:ascii="Calibri" w:hAnsi="Calibri" w:cs="Calibri"/>
                <w:sz w:val="20"/>
                <w:szCs w:val="20"/>
                <w:lang w:val="en-US"/>
              </w:rPr>
              <w:t xml:space="preserve">clearly </w:t>
            </w:r>
            <w:r w:rsidRPr="00E56E71">
              <w:rPr>
                <w:rFonts w:ascii="Calibri" w:hAnsi="Calibri" w:cs="Calibri"/>
                <w:sz w:val="20"/>
                <w:szCs w:val="20"/>
                <w:lang w:val="en-US"/>
              </w:rPr>
              <w:t xml:space="preserve">embedded in </w:t>
            </w:r>
            <w:proofErr w:type="gramStart"/>
            <w:r w:rsidRPr="00E56E71">
              <w:rPr>
                <w:rFonts w:ascii="Calibri" w:hAnsi="Calibri" w:cs="Calibri"/>
                <w:sz w:val="20"/>
                <w:szCs w:val="20"/>
                <w:lang w:val="en-US"/>
              </w:rPr>
              <w:t>schemes of work</w:t>
            </w:r>
            <w:proofErr w:type="gramEnd"/>
            <w:r w:rsidR="003748BF" w:rsidRPr="00E56E71">
              <w:rPr>
                <w:rFonts w:ascii="Calibri" w:hAnsi="Calibri" w:cs="Calibri"/>
                <w:sz w:val="20"/>
                <w:szCs w:val="20"/>
                <w:lang w:val="en-US"/>
              </w:rPr>
              <w:t>. Lessons regularly reference job roles, industries and skills</w:t>
            </w:r>
            <w:r w:rsidR="00CB198F" w:rsidRPr="00E56E71">
              <w:rPr>
                <w:rFonts w:ascii="Calibri" w:hAnsi="Calibri" w:cs="Calibri"/>
                <w:sz w:val="20"/>
                <w:szCs w:val="20"/>
                <w:lang w:val="en-US"/>
              </w:rPr>
              <w:t xml:space="preserve"> related to the subject</w:t>
            </w:r>
            <w:r w:rsidR="003748BF" w:rsidRPr="00E56E71">
              <w:rPr>
                <w:rFonts w:ascii="Calibri" w:hAnsi="Calibri" w:cs="Calibri"/>
                <w:sz w:val="20"/>
                <w:szCs w:val="20"/>
                <w:lang w:val="en-US"/>
              </w:rPr>
              <w:t>.</w:t>
            </w:r>
          </w:p>
          <w:p w14:paraId="0AA2A074" w14:textId="77777777" w:rsidR="00AA398F" w:rsidRPr="00E56E71" w:rsidRDefault="00AA398F">
            <w:pPr>
              <w:rPr>
                <w:rFonts w:ascii="Calibri" w:hAnsi="Calibri" w:cs="Calibri"/>
                <w:sz w:val="20"/>
                <w:szCs w:val="20"/>
                <w:lang w:val="en-US"/>
              </w:rPr>
            </w:pPr>
          </w:p>
          <w:p w14:paraId="36A93E6E" w14:textId="388E8350" w:rsidR="00E56E71" w:rsidRPr="00E56E71" w:rsidRDefault="00E56E71">
            <w:pPr>
              <w:rPr>
                <w:rFonts w:ascii="Calibri" w:hAnsi="Calibri" w:cs="Calibri"/>
                <w:sz w:val="20"/>
                <w:szCs w:val="20"/>
                <w:lang w:val="en-US"/>
              </w:rPr>
            </w:pPr>
          </w:p>
        </w:tc>
        <w:tc>
          <w:tcPr>
            <w:tcW w:w="992" w:type="dxa"/>
          </w:tcPr>
          <w:p w14:paraId="79463F5A" w14:textId="77777777" w:rsidR="00AA398F" w:rsidRPr="009556E4" w:rsidRDefault="00AA398F">
            <w:pPr>
              <w:rPr>
                <w:rFonts w:ascii="Calibri" w:hAnsi="Calibri" w:cs="Calibri"/>
                <w:sz w:val="22"/>
                <w:szCs w:val="22"/>
                <w:lang w:val="en-US"/>
              </w:rPr>
            </w:pPr>
          </w:p>
        </w:tc>
        <w:tc>
          <w:tcPr>
            <w:tcW w:w="3552" w:type="dxa"/>
          </w:tcPr>
          <w:p w14:paraId="057F6A80" w14:textId="77777777" w:rsidR="00AA398F" w:rsidRPr="009556E4" w:rsidRDefault="00AA398F">
            <w:pPr>
              <w:rPr>
                <w:rFonts w:ascii="Calibri" w:hAnsi="Calibri" w:cs="Calibri"/>
                <w:sz w:val="22"/>
                <w:szCs w:val="22"/>
                <w:lang w:val="en-US"/>
              </w:rPr>
            </w:pPr>
          </w:p>
        </w:tc>
        <w:tc>
          <w:tcPr>
            <w:tcW w:w="3816" w:type="dxa"/>
          </w:tcPr>
          <w:p w14:paraId="439BA27F" w14:textId="77777777" w:rsidR="00AA398F" w:rsidRPr="009556E4" w:rsidRDefault="00AA398F">
            <w:pPr>
              <w:rPr>
                <w:rFonts w:ascii="Calibri" w:hAnsi="Calibri" w:cs="Calibri"/>
                <w:sz w:val="22"/>
                <w:szCs w:val="22"/>
                <w:lang w:val="en-US"/>
              </w:rPr>
            </w:pPr>
          </w:p>
        </w:tc>
      </w:tr>
      <w:tr w:rsidR="009556E4" w:rsidRPr="003F525F" w14:paraId="6152ADE6" w14:textId="705988C5" w:rsidTr="604C4E23">
        <w:tc>
          <w:tcPr>
            <w:tcW w:w="1349" w:type="dxa"/>
            <w:shd w:val="clear" w:color="auto" w:fill="E8E8E8" w:themeFill="background2"/>
          </w:tcPr>
          <w:p w14:paraId="47DFDC01" w14:textId="77777777" w:rsidR="00AA398F" w:rsidRPr="00E56E71" w:rsidRDefault="00D03889">
            <w:pPr>
              <w:rPr>
                <w:rFonts w:ascii="Calibri" w:hAnsi="Calibri" w:cs="Calibri"/>
                <w:b/>
                <w:bCs/>
                <w:sz w:val="20"/>
                <w:szCs w:val="20"/>
                <w:lang w:val="en-US"/>
              </w:rPr>
            </w:pPr>
            <w:r w:rsidRPr="00E56E71">
              <w:rPr>
                <w:rFonts w:ascii="Calibri" w:hAnsi="Calibri" w:cs="Calibri"/>
                <w:b/>
                <w:bCs/>
                <w:sz w:val="20"/>
                <w:szCs w:val="20"/>
                <w:lang w:val="en-US"/>
              </w:rPr>
              <w:t>Employer engagement</w:t>
            </w:r>
          </w:p>
          <w:p w14:paraId="3439E15C" w14:textId="77777777" w:rsidR="00C31DB2" w:rsidRPr="00E56E71" w:rsidRDefault="00C31DB2">
            <w:pPr>
              <w:rPr>
                <w:rFonts w:ascii="Calibri" w:hAnsi="Calibri" w:cs="Calibri"/>
                <w:b/>
                <w:bCs/>
                <w:sz w:val="20"/>
                <w:szCs w:val="20"/>
                <w:lang w:val="en-US"/>
              </w:rPr>
            </w:pPr>
          </w:p>
          <w:p w14:paraId="4AEEABFD" w14:textId="77777777" w:rsidR="00C31DB2" w:rsidRPr="00E56E71" w:rsidRDefault="00C31DB2">
            <w:pPr>
              <w:rPr>
                <w:rFonts w:ascii="Calibri" w:hAnsi="Calibri" w:cs="Calibri"/>
                <w:b/>
                <w:bCs/>
                <w:sz w:val="20"/>
                <w:szCs w:val="20"/>
                <w:lang w:val="en-US"/>
              </w:rPr>
            </w:pPr>
          </w:p>
          <w:p w14:paraId="2363B19C" w14:textId="77777777" w:rsidR="00C31DB2" w:rsidRPr="00E56E71" w:rsidRDefault="00C31DB2">
            <w:pPr>
              <w:rPr>
                <w:rFonts w:ascii="Calibri" w:hAnsi="Calibri" w:cs="Calibri"/>
                <w:b/>
                <w:bCs/>
                <w:sz w:val="20"/>
                <w:szCs w:val="20"/>
                <w:lang w:val="en-US"/>
              </w:rPr>
            </w:pPr>
          </w:p>
          <w:p w14:paraId="46466763" w14:textId="77777777" w:rsidR="00C31DB2" w:rsidRPr="00E56E71" w:rsidRDefault="00C31DB2">
            <w:pPr>
              <w:rPr>
                <w:rFonts w:ascii="Calibri" w:hAnsi="Calibri" w:cs="Calibri"/>
                <w:b/>
                <w:bCs/>
                <w:sz w:val="20"/>
                <w:szCs w:val="20"/>
                <w:lang w:val="en-US"/>
              </w:rPr>
            </w:pPr>
          </w:p>
          <w:p w14:paraId="116098AF" w14:textId="77777777" w:rsidR="00C31DB2" w:rsidRPr="00E56E71" w:rsidRDefault="00C31DB2">
            <w:pPr>
              <w:rPr>
                <w:rFonts w:ascii="Calibri" w:hAnsi="Calibri" w:cs="Calibri"/>
                <w:b/>
                <w:bCs/>
                <w:sz w:val="20"/>
                <w:szCs w:val="20"/>
                <w:lang w:val="en-US"/>
              </w:rPr>
            </w:pPr>
          </w:p>
          <w:p w14:paraId="1B6D8109" w14:textId="77777777" w:rsidR="00C31DB2" w:rsidRPr="00E56E71" w:rsidRDefault="00C31DB2">
            <w:pPr>
              <w:rPr>
                <w:rFonts w:ascii="Calibri" w:hAnsi="Calibri" w:cs="Calibri"/>
                <w:b/>
                <w:bCs/>
                <w:sz w:val="20"/>
                <w:szCs w:val="20"/>
                <w:lang w:val="en-US"/>
              </w:rPr>
            </w:pPr>
          </w:p>
          <w:p w14:paraId="6D642CCD" w14:textId="7896FE87" w:rsidR="00C31DB2" w:rsidRPr="00E56E71" w:rsidRDefault="00C31DB2">
            <w:pPr>
              <w:rPr>
                <w:rFonts w:ascii="Calibri" w:hAnsi="Calibri" w:cs="Calibri"/>
                <w:b/>
                <w:bCs/>
                <w:sz w:val="20"/>
                <w:szCs w:val="20"/>
                <w:lang w:val="en-US"/>
              </w:rPr>
            </w:pPr>
          </w:p>
        </w:tc>
        <w:tc>
          <w:tcPr>
            <w:tcW w:w="1828" w:type="dxa"/>
          </w:tcPr>
          <w:p w14:paraId="37179A73" w14:textId="7C1347B4" w:rsidR="00AA398F" w:rsidRPr="00E56E71" w:rsidRDefault="00362DFB">
            <w:pPr>
              <w:rPr>
                <w:rFonts w:ascii="Calibri" w:hAnsi="Calibri" w:cs="Calibri"/>
                <w:sz w:val="20"/>
                <w:szCs w:val="20"/>
                <w:lang w:val="en-US"/>
              </w:rPr>
            </w:pPr>
            <w:r w:rsidRPr="00E56E71">
              <w:rPr>
                <w:rFonts w:ascii="Calibri" w:hAnsi="Calibri" w:cs="Calibri"/>
                <w:sz w:val="20"/>
                <w:szCs w:val="20"/>
                <w:lang w:val="en-US"/>
              </w:rPr>
              <w:t xml:space="preserve">No employer contact or activities. Staff understanding of relevant industries is limited. </w:t>
            </w:r>
          </w:p>
        </w:tc>
        <w:tc>
          <w:tcPr>
            <w:tcW w:w="1966" w:type="dxa"/>
          </w:tcPr>
          <w:p w14:paraId="1F8D0FDC" w14:textId="55927410" w:rsidR="00AA398F" w:rsidRPr="00E56E71" w:rsidRDefault="000A20AA">
            <w:pPr>
              <w:rPr>
                <w:rFonts w:ascii="Calibri" w:hAnsi="Calibri" w:cs="Calibri"/>
                <w:sz w:val="20"/>
                <w:szCs w:val="20"/>
                <w:lang w:val="en-US"/>
              </w:rPr>
            </w:pPr>
            <w:r w:rsidRPr="00E56E71">
              <w:rPr>
                <w:rFonts w:ascii="Calibri" w:hAnsi="Calibri" w:cs="Calibri"/>
                <w:sz w:val="20"/>
                <w:szCs w:val="20"/>
                <w:lang w:val="en-US"/>
              </w:rPr>
              <w:t>One-off employer talk or visit</w:t>
            </w:r>
            <w:r w:rsidR="00301D95" w:rsidRPr="00E56E71">
              <w:rPr>
                <w:rFonts w:ascii="Calibri" w:hAnsi="Calibri" w:cs="Calibri"/>
                <w:sz w:val="20"/>
                <w:szCs w:val="20"/>
                <w:lang w:val="en-US"/>
              </w:rPr>
              <w:t xml:space="preserve">s. Limited variety of employer input. </w:t>
            </w:r>
          </w:p>
        </w:tc>
        <w:tc>
          <w:tcPr>
            <w:tcW w:w="1948" w:type="dxa"/>
          </w:tcPr>
          <w:p w14:paraId="01A63BD9" w14:textId="3A0241F6" w:rsidR="00BC4FF8" w:rsidRPr="00E56E71" w:rsidRDefault="00301D95">
            <w:pPr>
              <w:rPr>
                <w:rFonts w:ascii="Calibri" w:hAnsi="Calibri" w:cs="Calibri"/>
                <w:sz w:val="20"/>
                <w:szCs w:val="20"/>
                <w:lang w:val="en-US"/>
              </w:rPr>
            </w:pPr>
            <w:r w:rsidRPr="00E56E71">
              <w:rPr>
                <w:rFonts w:ascii="Calibri" w:hAnsi="Calibri" w:cs="Calibri"/>
                <w:sz w:val="20"/>
                <w:szCs w:val="20"/>
                <w:lang w:val="en-US"/>
              </w:rPr>
              <w:t xml:space="preserve">Regular employer involvement (e.g. co-designed projects, career talks, workplace visits). </w:t>
            </w:r>
          </w:p>
        </w:tc>
        <w:tc>
          <w:tcPr>
            <w:tcW w:w="992" w:type="dxa"/>
          </w:tcPr>
          <w:p w14:paraId="45496F30" w14:textId="77777777" w:rsidR="00AA398F" w:rsidRPr="009556E4" w:rsidRDefault="00AA398F">
            <w:pPr>
              <w:rPr>
                <w:rFonts w:ascii="Calibri" w:hAnsi="Calibri" w:cs="Calibri"/>
                <w:sz w:val="22"/>
                <w:szCs w:val="22"/>
                <w:lang w:val="en-US"/>
              </w:rPr>
            </w:pPr>
          </w:p>
        </w:tc>
        <w:tc>
          <w:tcPr>
            <w:tcW w:w="3552" w:type="dxa"/>
          </w:tcPr>
          <w:p w14:paraId="421D5FDF" w14:textId="77777777" w:rsidR="00AA398F" w:rsidRPr="009556E4" w:rsidRDefault="00AA398F">
            <w:pPr>
              <w:rPr>
                <w:rFonts w:ascii="Calibri" w:hAnsi="Calibri" w:cs="Calibri"/>
                <w:sz w:val="22"/>
                <w:szCs w:val="22"/>
                <w:lang w:val="en-US"/>
              </w:rPr>
            </w:pPr>
          </w:p>
        </w:tc>
        <w:tc>
          <w:tcPr>
            <w:tcW w:w="3816" w:type="dxa"/>
          </w:tcPr>
          <w:p w14:paraId="35E0EDC5" w14:textId="77777777" w:rsidR="00AA398F" w:rsidRPr="009556E4" w:rsidRDefault="00AA398F">
            <w:pPr>
              <w:rPr>
                <w:rFonts w:ascii="Calibri" w:hAnsi="Calibri" w:cs="Calibri"/>
                <w:sz w:val="22"/>
                <w:szCs w:val="22"/>
                <w:lang w:val="en-US"/>
              </w:rPr>
            </w:pPr>
          </w:p>
        </w:tc>
      </w:tr>
      <w:tr w:rsidR="675B2918" w14:paraId="023A1C2F" w14:textId="77777777" w:rsidTr="005E473D">
        <w:trPr>
          <w:trHeight w:val="300"/>
        </w:trPr>
        <w:tc>
          <w:tcPr>
            <w:tcW w:w="1349" w:type="dxa"/>
            <w:shd w:val="clear" w:color="auto" w:fill="E8E8E8" w:themeFill="background2"/>
          </w:tcPr>
          <w:p w14:paraId="4903066A" w14:textId="24F13FB9" w:rsidR="675B2918" w:rsidRDefault="675B2918" w:rsidP="675B2918">
            <w:pPr>
              <w:rPr>
                <w:rFonts w:ascii="Calibri" w:hAnsi="Calibri" w:cs="Calibri"/>
                <w:b/>
                <w:bCs/>
                <w:sz w:val="20"/>
                <w:szCs w:val="20"/>
                <w:lang w:val="en-US"/>
              </w:rPr>
            </w:pPr>
            <w:r w:rsidRPr="675B2918">
              <w:rPr>
                <w:rFonts w:ascii="Calibri" w:hAnsi="Calibri" w:cs="Calibri"/>
                <w:b/>
                <w:bCs/>
                <w:sz w:val="20"/>
                <w:szCs w:val="20"/>
                <w:lang w:val="en-US"/>
              </w:rPr>
              <w:lastRenderedPageBreak/>
              <w:t>Audit Area</w:t>
            </w:r>
          </w:p>
        </w:tc>
        <w:tc>
          <w:tcPr>
            <w:tcW w:w="1828" w:type="dxa"/>
            <w:shd w:val="clear" w:color="auto" w:fill="FF0000"/>
          </w:tcPr>
          <w:p w14:paraId="1610F8EA" w14:textId="3BA51ACA" w:rsidR="675B2918" w:rsidRDefault="675B2918" w:rsidP="675B2918">
            <w:pPr>
              <w:rPr>
                <w:rFonts w:ascii="Calibri" w:hAnsi="Calibri" w:cs="Calibri"/>
                <w:b/>
                <w:bCs/>
                <w:sz w:val="20"/>
                <w:szCs w:val="20"/>
                <w:lang w:val="en-US"/>
              </w:rPr>
            </w:pPr>
            <w:r w:rsidRPr="675B2918">
              <w:rPr>
                <w:rFonts w:ascii="Calibri" w:hAnsi="Calibri" w:cs="Calibri"/>
                <w:b/>
                <w:bCs/>
                <w:sz w:val="20"/>
                <w:szCs w:val="20"/>
                <w:lang w:val="en-US"/>
              </w:rPr>
              <w:t>Red – Not yet in place</w:t>
            </w:r>
          </w:p>
        </w:tc>
        <w:tc>
          <w:tcPr>
            <w:tcW w:w="1966" w:type="dxa"/>
            <w:shd w:val="clear" w:color="auto" w:fill="FFC000"/>
          </w:tcPr>
          <w:p w14:paraId="46BE7207" w14:textId="52848193" w:rsidR="675B2918" w:rsidRDefault="675B2918" w:rsidP="675B2918">
            <w:pPr>
              <w:rPr>
                <w:rFonts w:ascii="Calibri" w:hAnsi="Calibri" w:cs="Calibri"/>
                <w:b/>
                <w:bCs/>
                <w:sz w:val="20"/>
                <w:szCs w:val="20"/>
                <w:lang w:val="en-US"/>
              </w:rPr>
            </w:pPr>
            <w:r w:rsidRPr="675B2918">
              <w:rPr>
                <w:rFonts w:ascii="Calibri" w:hAnsi="Calibri" w:cs="Calibri"/>
                <w:b/>
                <w:bCs/>
                <w:sz w:val="20"/>
                <w:szCs w:val="20"/>
                <w:lang w:val="en-US"/>
              </w:rPr>
              <w:t>Amber – Developing</w:t>
            </w:r>
          </w:p>
        </w:tc>
        <w:tc>
          <w:tcPr>
            <w:tcW w:w="1948" w:type="dxa"/>
            <w:shd w:val="clear" w:color="auto" w:fill="D9F2D0" w:themeFill="accent6" w:themeFillTint="33"/>
          </w:tcPr>
          <w:p w14:paraId="7C7C831A" w14:textId="047333E7" w:rsidR="675B2918" w:rsidRDefault="675B2918" w:rsidP="675B2918">
            <w:pPr>
              <w:rPr>
                <w:rFonts w:ascii="Calibri" w:hAnsi="Calibri" w:cs="Calibri"/>
                <w:b/>
                <w:bCs/>
                <w:sz w:val="20"/>
                <w:szCs w:val="20"/>
                <w:lang w:val="en-US"/>
              </w:rPr>
            </w:pPr>
            <w:r w:rsidRPr="675B2918">
              <w:rPr>
                <w:rFonts w:ascii="Calibri" w:hAnsi="Calibri" w:cs="Calibri"/>
                <w:b/>
                <w:bCs/>
                <w:sz w:val="20"/>
                <w:szCs w:val="20"/>
                <w:lang w:val="en-US"/>
              </w:rPr>
              <w:t>Green – Well embedded</w:t>
            </w:r>
          </w:p>
        </w:tc>
        <w:tc>
          <w:tcPr>
            <w:tcW w:w="992" w:type="dxa"/>
            <w:shd w:val="clear" w:color="auto" w:fill="F2F2F2" w:themeFill="background1" w:themeFillShade="F2"/>
          </w:tcPr>
          <w:p w14:paraId="5F75E080" w14:textId="22FBDA88" w:rsidR="675B2918" w:rsidRDefault="675B2918" w:rsidP="675B2918">
            <w:r w:rsidRPr="675B2918">
              <w:rPr>
                <w:rFonts w:ascii="Calibri" w:hAnsi="Calibri" w:cs="Calibri"/>
                <w:b/>
                <w:bCs/>
                <w:noProof/>
                <w:sz w:val="20"/>
                <w:szCs w:val="20"/>
                <w:lang w:val="en-US"/>
              </w:rPr>
              <w:t>RAG Rating</w:t>
            </w:r>
          </w:p>
        </w:tc>
        <w:tc>
          <w:tcPr>
            <w:tcW w:w="3552" w:type="dxa"/>
            <w:shd w:val="clear" w:color="auto" w:fill="F2F2F2" w:themeFill="background1" w:themeFillShade="F2"/>
          </w:tcPr>
          <w:p w14:paraId="0E273903" w14:textId="38230FB7" w:rsidR="675B2918" w:rsidRDefault="675B2918" w:rsidP="675B2918">
            <w:pPr>
              <w:rPr>
                <w:rFonts w:ascii="Calibri" w:hAnsi="Calibri" w:cs="Calibri"/>
                <w:b/>
                <w:bCs/>
                <w:noProof/>
                <w:sz w:val="20"/>
                <w:szCs w:val="20"/>
                <w:lang w:val="en-US"/>
              </w:rPr>
            </w:pPr>
            <w:r w:rsidRPr="675B2918">
              <w:rPr>
                <w:rFonts w:ascii="Calibri" w:hAnsi="Calibri" w:cs="Calibri"/>
                <w:b/>
                <w:bCs/>
                <w:noProof/>
                <w:sz w:val="20"/>
                <w:szCs w:val="20"/>
                <w:lang w:val="en-US"/>
              </w:rPr>
              <w:t>Evidence / Examples</w:t>
            </w:r>
          </w:p>
        </w:tc>
        <w:tc>
          <w:tcPr>
            <w:tcW w:w="3816" w:type="dxa"/>
            <w:shd w:val="clear" w:color="auto" w:fill="F2F2F2" w:themeFill="background1" w:themeFillShade="F2"/>
          </w:tcPr>
          <w:p w14:paraId="03C54363" w14:textId="19F124A0" w:rsidR="675B2918" w:rsidRDefault="675B2918" w:rsidP="675B2918">
            <w:pPr>
              <w:rPr>
                <w:rFonts w:ascii="Calibri" w:hAnsi="Calibri" w:cs="Calibri"/>
                <w:b/>
                <w:bCs/>
                <w:noProof/>
                <w:sz w:val="20"/>
                <w:szCs w:val="20"/>
                <w:lang w:val="en-US"/>
              </w:rPr>
            </w:pPr>
            <w:r w:rsidRPr="675B2918">
              <w:rPr>
                <w:rFonts w:ascii="Calibri" w:hAnsi="Calibri" w:cs="Calibri"/>
                <w:b/>
                <w:bCs/>
                <w:noProof/>
                <w:sz w:val="20"/>
                <w:szCs w:val="20"/>
                <w:lang w:val="en-US"/>
              </w:rPr>
              <w:t>Actions / Next Steps</w:t>
            </w:r>
          </w:p>
        </w:tc>
      </w:tr>
      <w:tr w:rsidR="006F5AD7" w:rsidRPr="003F525F" w14:paraId="78D1B6A3" w14:textId="77777777" w:rsidTr="604C4E23">
        <w:tc>
          <w:tcPr>
            <w:tcW w:w="1349" w:type="dxa"/>
            <w:shd w:val="clear" w:color="auto" w:fill="E8E8E8" w:themeFill="background2"/>
          </w:tcPr>
          <w:p w14:paraId="66DB44F5" w14:textId="2705D511" w:rsidR="006F5AD7" w:rsidRPr="00E56E71" w:rsidRDefault="00B36E9B">
            <w:pPr>
              <w:rPr>
                <w:rFonts w:ascii="Calibri" w:hAnsi="Calibri" w:cs="Calibri"/>
                <w:b/>
                <w:bCs/>
                <w:sz w:val="20"/>
                <w:szCs w:val="20"/>
                <w:lang w:val="en-US"/>
              </w:rPr>
            </w:pPr>
            <w:proofErr w:type="spellStart"/>
            <w:r w:rsidRPr="00E56E71">
              <w:rPr>
                <w:rFonts w:ascii="Calibri" w:hAnsi="Calibri" w:cs="Calibri"/>
                <w:b/>
                <w:bCs/>
                <w:sz w:val="20"/>
                <w:szCs w:val="20"/>
                <w:lang w:val="en-US"/>
              </w:rPr>
              <w:t>Labour</w:t>
            </w:r>
            <w:proofErr w:type="spellEnd"/>
            <w:r w:rsidRPr="00E56E71">
              <w:rPr>
                <w:rFonts w:ascii="Calibri" w:hAnsi="Calibri" w:cs="Calibri"/>
                <w:b/>
                <w:bCs/>
                <w:sz w:val="20"/>
                <w:szCs w:val="20"/>
                <w:lang w:val="en-US"/>
              </w:rPr>
              <w:t xml:space="preserve"> Market Information (LMI)</w:t>
            </w:r>
          </w:p>
        </w:tc>
        <w:tc>
          <w:tcPr>
            <w:tcW w:w="1828" w:type="dxa"/>
          </w:tcPr>
          <w:p w14:paraId="04F158C7" w14:textId="193F3720" w:rsidR="006F5AD7" w:rsidRPr="00E56E71" w:rsidRDefault="002C4723">
            <w:pPr>
              <w:rPr>
                <w:rFonts w:ascii="Calibri" w:hAnsi="Calibri" w:cs="Calibri"/>
                <w:sz w:val="20"/>
                <w:szCs w:val="20"/>
                <w:lang w:val="en-US"/>
              </w:rPr>
            </w:pPr>
            <w:r w:rsidRPr="00E56E71">
              <w:rPr>
                <w:rFonts w:ascii="Calibri" w:hAnsi="Calibri" w:cs="Calibri"/>
                <w:sz w:val="20"/>
                <w:szCs w:val="20"/>
                <w:lang w:val="en-US"/>
              </w:rPr>
              <w:t xml:space="preserve">No reference to LMI in lessons, displays or planning. Students are unaware of current job trends of skills demand. </w:t>
            </w:r>
          </w:p>
        </w:tc>
        <w:tc>
          <w:tcPr>
            <w:tcW w:w="1966" w:type="dxa"/>
          </w:tcPr>
          <w:p w14:paraId="39E781BE" w14:textId="66271A00" w:rsidR="006F5AD7" w:rsidRPr="00E56E71" w:rsidRDefault="0087199F">
            <w:pPr>
              <w:rPr>
                <w:rFonts w:ascii="Calibri" w:hAnsi="Calibri" w:cs="Calibri"/>
                <w:sz w:val="20"/>
                <w:szCs w:val="20"/>
                <w:lang w:val="en-US"/>
              </w:rPr>
            </w:pPr>
            <w:r w:rsidRPr="00E56E71">
              <w:rPr>
                <w:rFonts w:ascii="Calibri" w:hAnsi="Calibri" w:cs="Calibri"/>
                <w:sz w:val="20"/>
                <w:szCs w:val="20"/>
                <w:lang w:val="en-US"/>
              </w:rPr>
              <w:t>LMI is occasionally referenced (e.g. posters, one-off lessons) but not consistently</w:t>
            </w:r>
            <w:r w:rsidR="00207A9E" w:rsidRPr="00E56E71">
              <w:rPr>
                <w:rFonts w:ascii="Calibri" w:hAnsi="Calibri" w:cs="Calibri"/>
                <w:sz w:val="20"/>
                <w:szCs w:val="20"/>
                <w:lang w:val="en-US"/>
              </w:rPr>
              <w:t>. Students have some understanding of how LMI affects career choices.</w:t>
            </w:r>
          </w:p>
        </w:tc>
        <w:tc>
          <w:tcPr>
            <w:tcW w:w="1948" w:type="dxa"/>
          </w:tcPr>
          <w:p w14:paraId="01691963" w14:textId="69233257" w:rsidR="006F5AD7" w:rsidRPr="00E56E71" w:rsidRDefault="00812658" w:rsidP="604C4E23">
            <w:pPr>
              <w:rPr>
                <w:rFonts w:ascii="Calibri" w:hAnsi="Calibri" w:cs="Calibri"/>
                <w:sz w:val="19"/>
                <w:szCs w:val="19"/>
                <w:lang w:val="en-US"/>
              </w:rPr>
            </w:pPr>
            <w:r w:rsidRPr="604C4E23">
              <w:rPr>
                <w:rFonts w:ascii="Calibri" w:hAnsi="Calibri" w:cs="Calibri"/>
                <w:sz w:val="19"/>
                <w:szCs w:val="19"/>
                <w:lang w:val="en-US"/>
              </w:rPr>
              <w:t xml:space="preserve">LMI is </w:t>
            </w:r>
            <w:r w:rsidR="00AD3D89" w:rsidRPr="604C4E23">
              <w:rPr>
                <w:rFonts w:ascii="Calibri" w:hAnsi="Calibri" w:cs="Calibri"/>
                <w:sz w:val="19"/>
                <w:szCs w:val="19"/>
                <w:lang w:val="en-US"/>
              </w:rPr>
              <w:t xml:space="preserve">regularly </w:t>
            </w:r>
            <w:r w:rsidRPr="604C4E23">
              <w:rPr>
                <w:rFonts w:ascii="Calibri" w:hAnsi="Calibri" w:cs="Calibri"/>
                <w:sz w:val="19"/>
                <w:szCs w:val="19"/>
                <w:lang w:val="en-US"/>
              </w:rPr>
              <w:t xml:space="preserve">used to inform teaching, planning and student discussions. </w:t>
            </w:r>
            <w:r w:rsidR="005A1190" w:rsidRPr="604C4E23">
              <w:rPr>
                <w:rFonts w:ascii="Calibri" w:hAnsi="Calibri" w:cs="Calibri"/>
                <w:sz w:val="19"/>
                <w:szCs w:val="19"/>
                <w:lang w:val="en-US"/>
              </w:rPr>
              <w:t xml:space="preserve">Staff use up-to-date LMI sources to </w:t>
            </w:r>
            <w:r w:rsidR="00AD3D89" w:rsidRPr="604C4E23">
              <w:rPr>
                <w:rFonts w:ascii="Calibri" w:hAnsi="Calibri" w:cs="Calibri"/>
                <w:sz w:val="19"/>
                <w:szCs w:val="19"/>
                <w:lang w:val="en-US"/>
              </w:rPr>
              <w:t xml:space="preserve">share information in lessons and </w:t>
            </w:r>
            <w:r w:rsidR="00732DF3" w:rsidRPr="604C4E23">
              <w:rPr>
                <w:rFonts w:ascii="Calibri" w:hAnsi="Calibri" w:cs="Calibri"/>
                <w:sz w:val="19"/>
                <w:szCs w:val="19"/>
                <w:lang w:val="en-US"/>
              </w:rPr>
              <w:t xml:space="preserve">on </w:t>
            </w:r>
            <w:r w:rsidR="00AD3D89" w:rsidRPr="604C4E23">
              <w:rPr>
                <w:rFonts w:ascii="Calibri" w:hAnsi="Calibri" w:cs="Calibri"/>
                <w:sz w:val="19"/>
                <w:szCs w:val="19"/>
                <w:lang w:val="en-US"/>
              </w:rPr>
              <w:t xml:space="preserve">displays. </w:t>
            </w:r>
          </w:p>
        </w:tc>
        <w:tc>
          <w:tcPr>
            <w:tcW w:w="992" w:type="dxa"/>
          </w:tcPr>
          <w:p w14:paraId="37FFA9C1" w14:textId="77777777" w:rsidR="006F5AD7" w:rsidRPr="009556E4" w:rsidRDefault="006F5AD7">
            <w:pPr>
              <w:rPr>
                <w:rFonts w:ascii="Calibri" w:hAnsi="Calibri" w:cs="Calibri"/>
                <w:sz w:val="22"/>
                <w:szCs w:val="22"/>
                <w:lang w:val="en-US"/>
              </w:rPr>
            </w:pPr>
          </w:p>
        </w:tc>
        <w:tc>
          <w:tcPr>
            <w:tcW w:w="3552" w:type="dxa"/>
          </w:tcPr>
          <w:p w14:paraId="66203332" w14:textId="77777777" w:rsidR="006F5AD7" w:rsidRPr="009556E4" w:rsidRDefault="006F5AD7">
            <w:pPr>
              <w:rPr>
                <w:rFonts w:ascii="Calibri" w:hAnsi="Calibri" w:cs="Calibri"/>
                <w:sz w:val="22"/>
                <w:szCs w:val="22"/>
                <w:lang w:val="en-US"/>
              </w:rPr>
            </w:pPr>
          </w:p>
        </w:tc>
        <w:tc>
          <w:tcPr>
            <w:tcW w:w="3816" w:type="dxa"/>
          </w:tcPr>
          <w:p w14:paraId="7C58E18C" w14:textId="77777777" w:rsidR="006F5AD7" w:rsidRPr="009556E4" w:rsidRDefault="006F5AD7">
            <w:pPr>
              <w:rPr>
                <w:rFonts w:ascii="Calibri" w:hAnsi="Calibri" w:cs="Calibri"/>
                <w:sz w:val="22"/>
                <w:szCs w:val="22"/>
                <w:lang w:val="en-US"/>
              </w:rPr>
            </w:pPr>
          </w:p>
        </w:tc>
      </w:tr>
      <w:tr w:rsidR="009556E4" w:rsidRPr="003F525F" w14:paraId="4C33CBEE" w14:textId="47DB38A2" w:rsidTr="604C4E23">
        <w:tc>
          <w:tcPr>
            <w:tcW w:w="1349" w:type="dxa"/>
            <w:shd w:val="clear" w:color="auto" w:fill="E8E8E8" w:themeFill="background2"/>
          </w:tcPr>
          <w:p w14:paraId="3BE647FE" w14:textId="4A58E4E9" w:rsidR="00AA398F" w:rsidRPr="00E56E71" w:rsidRDefault="00CF1994">
            <w:pPr>
              <w:rPr>
                <w:rFonts w:ascii="Calibri" w:hAnsi="Calibri" w:cs="Calibri"/>
                <w:b/>
                <w:bCs/>
                <w:sz w:val="20"/>
                <w:szCs w:val="20"/>
                <w:lang w:val="en-US"/>
              </w:rPr>
            </w:pPr>
            <w:r w:rsidRPr="00E56E71">
              <w:rPr>
                <w:rFonts w:ascii="Calibri" w:hAnsi="Calibri" w:cs="Calibri"/>
                <w:b/>
                <w:bCs/>
                <w:sz w:val="20"/>
                <w:szCs w:val="20"/>
                <w:lang w:val="en-US"/>
              </w:rPr>
              <w:t>Career pathways and progression routes</w:t>
            </w:r>
          </w:p>
        </w:tc>
        <w:tc>
          <w:tcPr>
            <w:tcW w:w="1828" w:type="dxa"/>
          </w:tcPr>
          <w:p w14:paraId="0C64AEBF" w14:textId="062FB90E" w:rsidR="00AA398F" w:rsidRPr="00E56E71" w:rsidRDefault="0070744A">
            <w:pPr>
              <w:rPr>
                <w:rFonts w:ascii="Calibri" w:hAnsi="Calibri" w:cs="Calibri"/>
                <w:sz w:val="20"/>
                <w:szCs w:val="20"/>
                <w:lang w:val="en-US"/>
              </w:rPr>
            </w:pPr>
            <w:r w:rsidRPr="00E56E71">
              <w:rPr>
                <w:rFonts w:ascii="Calibri" w:hAnsi="Calibri" w:cs="Calibri"/>
                <w:sz w:val="20"/>
                <w:szCs w:val="20"/>
                <w:lang w:val="en-US"/>
              </w:rPr>
              <w:t xml:space="preserve">No information provided to students about where the subject can lead to. </w:t>
            </w:r>
            <w:r w:rsidR="00B60779" w:rsidRPr="00E56E71">
              <w:rPr>
                <w:rFonts w:ascii="Calibri" w:hAnsi="Calibri" w:cs="Calibri"/>
                <w:sz w:val="20"/>
                <w:szCs w:val="20"/>
                <w:lang w:val="en-US"/>
              </w:rPr>
              <w:t xml:space="preserve">There are no or very few opportunities to discuss qualifications, job roles and further study options. </w:t>
            </w:r>
            <w:r w:rsidR="001B41F1" w:rsidRPr="00E56E71">
              <w:rPr>
                <w:rFonts w:ascii="Calibri" w:hAnsi="Calibri" w:cs="Calibri"/>
                <w:sz w:val="20"/>
                <w:szCs w:val="20"/>
                <w:lang w:val="en-US"/>
              </w:rPr>
              <w:t xml:space="preserve"> </w:t>
            </w:r>
          </w:p>
        </w:tc>
        <w:tc>
          <w:tcPr>
            <w:tcW w:w="1966" w:type="dxa"/>
          </w:tcPr>
          <w:p w14:paraId="0D909634" w14:textId="5315E567" w:rsidR="00AA398F" w:rsidRPr="00E56E71" w:rsidRDefault="00110419">
            <w:pPr>
              <w:rPr>
                <w:rFonts w:ascii="Calibri" w:hAnsi="Calibri" w:cs="Calibri"/>
                <w:sz w:val="20"/>
                <w:szCs w:val="20"/>
                <w:lang w:val="en-US"/>
              </w:rPr>
            </w:pPr>
            <w:r w:rsidRPr="00E56E71">
              <w:rPr>
                <w:rFonts w:ascii="Calibri" w:hAnsi="Calibri" w:cs="Calibri"/>
                <w:sz w:val="20"/>
                <w:szCs w:val="20"/>
                <w:lang w:val="en-US"/>
              </w:rPr>
              <w:t xml:space="preserve">Careers display </w:t>
            </w:r>
            <w:r w:rsidR="00A84FB6" w:rsidRPr="00E56E71">
              <w:rPr>
                <w:rFonts w:ascii="Calibri" w:hAnsi="Calibri" w:cs="Calibri"/>
                <w:sz w:val="20"/>
                <w:szCs w:val="20"/>
                <w:lang w:val="en-US"/>
              </w:rPr>
              <w:t xml:space="preserve">for industries / progression routes in classroom. </w:t>
            </w:r>
            <w:r w:rsidR="00B31401" w:rsidRPr="00E56E71">
              <w:rPr>
                <w:rFonts w:ascii="Calibri" w:hAnsi="Calibri" w:cs="Calibri"/>
                <w:sz w:val="20"/>
                <w:szCs w:val="20"/>
                <w:lang w:val="en-US"/>
              </w:rPr>
              <w:t>There are</w:t>
            </w:r>
            <w:r w:rsidR="00D44D5A" w:rsidRPr="00E56E71">
              <w:rPr>
                <w:rFonts w:ascii="Calibri" w:hAnsi="Calibri" w:cs="Calibri"/>
                <w:sz w:val="20"/>
                <w:szCs w:val="20"/>
                <w:lang w:val="en-US"/>
              </w:rPr>
              <w:t xml:space="preserve"> some</w:t>
            </w:r>
            <w:r w:rsidR="00B31401" w:rsidRPr="00E56E71">
              <w:rPr>
                <w:rFonts w:ascii="Calibri" w:hAnsi="Calibri" w:cs="Calibri"/>
                <w:sz w:val="20"/>
                <w:szCs w:val="20"/>
                <w:lang w:val="en-US"/>
              </w:rPr>
              <w:t xml:space="preserve"> opportunities for </w:t>
            </w:r>
            <w:r w:rsidR="00D44D5A" w:rsidRPr="00E56E71">
              <w:rPr>
                <w:rFonts w:ascii="Calibri" w:hAnsi="Calibri" w:cs="Calibri"/>
                <w:sz w:val="20"/>
                <w:szCs w:val="20"/>
                <w:lang w:val="en-US"/>
              </w:rPr>
              <w:t xml:space="preserve">students to learn about </w:t>
            </w:r>
            <w:r w:rsidR="0015355B" w:rsidRPr="00E56E71">
              <w:rPr>
                <w:rFonts w:ascii="Calibri" w:hAnsi="Calibri" w:cs="Calibri"/>
                <w:sz w:val="20"/>
                <w:szCs w:val="20"/>
                <w:lang w:val="en-US"/>
              </w:rPr>
              <w:t>some related</w:t>
            </w:r>
            <w:r w:rsidR="000D6987" w:rsidRPr="00E56E71">
              <w:rPr>
                <w:rFonts w:ascii="Calibri" w:hAnsi="Calibri" w:cs="Calibri"/>
                <w:sz w:val="20"/>
                <w:szCs w:val="20"/>
                <w:lang w:val="en-US"/>
              </w:rPr>
              <w:t xml:space="preserve"> career</w:t>
            </w:r>
            <w:r w:rsidR="0015355B" w:rsidRPr="00E56E71">
              <w:rPr>
                <w:rFonts w:ascii="Calibri" w:hAnsi="Calibri" w:cs="Calibri"/>
                <w:sz w:val="20"/>
                <w:szCs w:val="20"/>
                <w:lang w:val="en-US"/>
              </w:rPr>
              <w:t xml:space="preserve"> pathways</w:t>
            </w:r>
            <w:r w:rsidR="00142FA6" w:rsidRPr="00E56E71">
              <w:rPr>
                <w:rFonts w:ascii="Calibri" w:hAnsi="Calibri" w:cs="Calibri"/>
                <w:sz w:val="20"/>
                <w:szCs w:val="20"/>
                <w:lang w:val="en-US"/>
              </w:rPr>
              <w:t xml:space="preserve"> or progression routes</w:t>
            </w:r>
            <w:r w:rsidR="0015355B" w:rsidRPr="00E56E71">
              <w:rPr>
                <w:rFonts w:ascii="Calibri" w:hAnsi="Calibri" w:cs="Calibri"/>
                <w:sz w:val="20"/>
                <w:szCs w:val="20"/>
                <w:lang w:val="en-US"/>
              </w:rPr>
              <w:t>.</w:t>
            </w:r>
            <w:r w:rsidR="00D44D5A" w:rsidRPr="00E56E71">
              <w:rPr>
                <w:rFonts w:ascii="Calibri" w:hAnsi="Calibri" w:cs="Calibri"/>
                <w:sz w:val="20"/>
                <w:szCs w:val="20"/>
                <w:lang w:val="en-US"/>
              </w:rPr>
              <w:t xml:space="preserve"> </w:t>
            </w:r>
          </w:p>
        </w:tc>
        <w:tc>
          <w:tcPr>
            <w:tcW w:w="1948" w:type="dxa"/>
          </w:tcPr>
          <w:p w14:paraId="7EDF00EF" w14:textId="2EB4325F" w:rsidR="00AA398F" w:rsidRPr="00E56E71" w:rsidRDefault="004B51B7" w:rsidP="604C4E23">
            <w:pPr>
              <w:rPr>
                <w:rFonts w:ascii="Calibri" w:hAnsi="Calibri" w:cs="Calibri"/>
                <w:sz w:val="19"/>
                <w:szCs w:val="19"/>
                <w:lang w:val="en-US"/>
              </w:rPr>
            </w:pPr>
            <w:r w:rsidRPr="604C4E23">
              <w:rPr>
                <w:rFonts w:ascii="Calibri" w:hAnsi="Calibri" w:cs="Calibri"/>
                <w:sz w:val="19"/>
                <w:szCs w:val="19"/>
                <w:lang w:val="en-US"/>
              </w:rPr>
              <w:t xml:space="preserve">There are regular opportunities </w:t>
            </w:r>
            <w:r w:rsidR="001A44A8" w:rsidRPr="604C4E23">
              <w:rPr>
                <w:rFonts w:ascii="Calibri" w:hAnsi="Calibri" w:cs="Calibri"/>
                <w:sz w:val="19"/>
                <w:szCs w:val="19"/>
                <w:lang w:val="en-US"/>
              </w:rPr>
              <w:t>for students to learn about p</w:t>
            </w:r>
            <w:r w:rsidR="0015355B" w:rsidRPr="604C4E23">
              <w:rPr>
                <w:rFonts w:ascii="Calibri" w:hAnsi="Calibri" w:cs="Calibri"/>
                <w:sz w:val="19"/>
                <w:szCs w:val="19"/>
                <w:lang w:val="en-US"/>
              </w:rPr>
              <w:t xml:space="preserve">rogression routes, </w:t>
            </w:r>
            <w:r w:rsidR="008714EA" w:rsidRPr="604C4E23">
              <w:rPr>
                <w:rFonts w:ascii="Calibri" w:hAnsi="Calibri" w:cs="Calibri"/>
                <w:sz w:val="19"/>
                <w:szCs w:val="19"/>
                <w:lang w:val="en-US"/>
              </w:rPr>
              <w:t>pathways and qualifications</w:t>
            </w:r>
            <w:r w:rsidR="001A44A8" w:rsidRPr="604C4E23">
              <w:rPr>
                <w:rFonts w:ascii="Calibri" w:hAnsi="Calibri" w:cs="Calibri"/>
                <w:sz w:val="19"/>
                <w:szCs w:val="19"/>
                <w:lang w:val="en-US"/>
              </w:rPr>
              <w:t xml:space="preserve"> related to this subjec</w:t>
            </w:r>
            <w:r w:rsidR="00DC3160" w:rsidRPr="604C4E23">
              <w:rPr>
                <w:rFonts w:ascii="Calibri" w:hAnsi="Calibri" w:cs="Calibri"/>
                <w:sz w:val="19"/>
                <w:szCs w:val="19"/>
                <w:lang w:val="en-US"/>
              </w:rPr>
              <w:t xml:space="preserve">t, including apprenticeships, vocational and academic qualifications, and job roles. </w:t>
            </w:r>
          </w:p>
        </w:tc>
        <w:tc>
          <w:tcPr>
            <w:tcW w:w="992" w:type="dxa"/>
          </w:tcPr>
          <w:p w14:paraId="74CB2764" w14:textId="77777777" w:rsidR="00AA398F" w:rsidRPr="009556E4" w:rsidRDefault="00AA398F">
            <w:pPr>
              <w:rPr>
                <w:rFonts w:ascii="Calibri" w:hAnsi="Calibri" w:cs="Calibri"/>
                <w:sz w:val="22"/>
                <w:szCs w:val="22"/>
                <w:lang w:val="en-US"/>
              </w:rPr>
            </w:pPr>
          </w:p>
        </w:tc>
        <w:tc>
          <w:tcPr>
            <w:tcW w:w="3552" w:type="dxa"/>
          </w:tcPr>
          <w:p w14:paraId="62F6CEB6" w14:textId="77777777" w:rsidR="00AA398F" w:rsidRPr="009556E4" w:rsidRDefault="00AA398F">
            <w:pPr>
              <w:rPr>
                <w:rFonts w:ascii="Calibri" w:hAnsi="Calibri" w:cs="Calibri"/>
                <w:sz w:val="22"/>
                <w:szCs w:val="22"/>
                <w:lang w:val="en-US"/>
              </w:rPr>
            </w:pPr>
          </w:p>
        </w:tc>
        <w:tc>
          <w:tcPr>
            <w:tcW w:w="3816" w:type="dxa"/>
          </w:tcPr>
          <w:p w14:paraId="40188308" w14:textId="77777777" w:rsidR="00AA398F" w:rsidRPr="009556E4" w:rsidRDefault="00AA398F">
            <w:pPr>
              <w:rPr>
                <w:rFonts w:ascii="Calibri" w:hAnsi="Calibri" w:cs="Calibri"/>
                <w:sz w:val="22"/>
                <w:szCs w:val="22"/>
                <w:lang w:val="en-US"/>
              </w:rPr>
            </w:pPr>
          </w:p>
        </w:tc>
      </w:tr>
      <w:tr w:rsidR="00A72ACC" w:rsidRPr="003F525F" w14:paraId="699185B5" w14:textId="77777777" w:rsidTr="604C4E23">
        <w:tc>
          <w:tcPr>
            <w:tcW w:w="1349" w:type="dxa"/>
            <w:shd w:val="clear" w:color="auto" w:fill="E8E8E8" w:themeFill="background2"/>
          </w:tcPr>
          <w:p w14:paraId="15D2926C" w14:textId="4118B170" w:rsidR="000D6987" w:rsidRPr="00E56E71" w:rsidRDefault="00E1727C">
            <w:pPr>
              <w:rPr>
                <w:rFonts w:ascii="Calibri" w:hAnsi="Calibri" w:cs="Calibri"/>
                <w:b/>
                <w:bCs/>
                <w:sz w:val="20"/>
                <w:szCs w:val="20"/>
                <w:lang w:val="en-US"/>
              </w:rPr>
            </w:pPr>
            <w:r w:rsidRPr="00E56E71">
              <w:rPr>
                <w:rFonts w:ascii="Calibri" w:hAnsi="Calibri" w:cs="Calibri"/>
                <w:b/>
                <w:bCs/>
                <w:sz w:val="20"/>
                <w:szCs w:val="20"/>
                <w:lang w:val="en-US"/>
              </w:rPr>
              <w:t>Staff Confidence and Training</w:t>
            </w:r>
          </w:p>
        </w:tc>
        <w:tc>
          <w:tcPr>
            <w:tcW w:w="1828" w:type="dxa"/>
          </w:tcPr>
          <w:p w14:paraId="4A47EC8F" w14:textId="23377BA6" w:rsidR="000D6987" w:rsidRPr="00E56E71" w:rsidRDefault="004205DF">
            <w:pPr>
              <w:rPr>
                <w:rFonts w:ascii="Calibri" w:hAnsi="Calibri" w:cs="Calibri"/>
                <w:sz w:val="20"/>
                <w:szCs w:val="20"/>
                <w:lang w:val="en-US"/>
              </w:rPr>
            </w:pPr>
            <w:r w:rsidRPr="00E56E71">
              <w:rPr>
                <w:rFonts w:ascii="Calibri" w:hAnsi="Calibri" w:cs="Calibri"/>
                <w:sz w:val="20"/>
                <w:szCs w:val="20"/>
                <w:lang w:val="en-US"/>
              </w:rPr>
              <w:t xml:space="preserve">Staff are unsure how to embed careers and have not received any training or guidance. </w:t>
            </w:r>
            <w:r w:rsidR="00C43C2E" w:rsidRPr="00E56E71">
              <w:rPr>
                <w:rFonts w:ascii="Calibri" w:hAnsi="Calibri" w:cs="Calibri"/>
                <w:sz w:val="20"/>
                <w:szCs w:val="20"/>
                <w:lang w:val="en-US"/>
              </w:rPr>
              <w:t xml:space="preserve"> </w:t>
            </w:r>
          </w:p>
        </w:tc>
        <w:tc>
          <w:tcPr>
            <w:tcW w:w="1966" w:type="dxa"/>
          </w:tcPr>
          <w:p w14:paraId="444B140C" w14:textId="1E24156B" w:rsidR="000D6987" w:rsidRPr="00E56E71" w:rsidRDefault="00C43C2E">
            <w:pPr>
              <w:rPr>
                <w:rFonts w:ascii="Calibri" w:hAnsi="Calibri" w:cs="Calibri"/>
                <w:sz w:val="20"/>
                <w:szCs w:val="20"/>
                <w:lang w:val="en-US"/>
              </w:rPr>
            </w:pPr>
            <w:r w:rsidRPr="00E56E71">
              <w:rPr>
                <w:rFonts w:ascii="Calibri" w:hAnsi="Calibri" w:cs="Calibri"/>
                <w:sz w:val="20"/>
                <w:szCs w:val="20"/>
                <w:lang w:val="en-US"/>
              </w:rPr>
              <w:t xml:space="preserve">CPD has been planned / delivered for staff. </w:t>
            </w:r>
            <w:r w:rsidR="00811B0E" w:rsidRPr="00E56E71">
              <w:rPr>
                <w:rFonts w:ascii="Calibri" w:hAnsi="Calibri" w:cs="Calibri"/>
                <w:sz w:val="20"/>
                <w:szCs w:val="20"/>
                <w:lang w:val="en-US"/>
              </w:rPr>
              <w:t>They</w:t>
            </w:r>
            <w:r w:rsidR="00613E63" w:rsidRPr="00E56E71">
              <w:rPr>
                <w:rFonts w:ascii="Calibri" w:hAnsi="Calibri" w:cs="Calibri"/>
                <w:sz w:val="20"/>
                <w:szCs w:val="20"/>
                <w:lang w:val="en-US"/>
              </w:rPr>
              <w:t xml:space="preserve"> have access to resources to support their CPD of careers</w:t>
            </w:r>
            <w:r w:rsidR="00811B0E" w:rsidRPr="00E56E71">
              <w:rPr>
                <w:rFonts w:ascii="Calibri" w:hAnsi="Calibri" w:cs="Calibri"/>
                <w:sz w:val="20"/>
                <w:szCs w:val="20"/>
                <w:lang w:val="en-US"/>
              </w:rPr>
              <w:t>.</w:t>
            </w:r>
            <w:r w:rsidR="00613E63" w:rsidRPr="00E56E71">
              <w:rPr>
                <w:rFonts w:ascii="Calibri" w:hAnsi="Calibri" w:cs="Calibri"/>
                <w:sz w:val="20"/>
                <w:szCs w:val="20"/>
                <w:lang w:val="en-US"/>
              </w:rPr>
              <w:t xml:space="preserve"> </w:t>
            </w:r>
          </w:p>
        </w:tc>
        <w:tc>
          <w:tcPr>
            <w:tcW w:w="1948" w:type="dxa"/>
          </w:tcPr>
          <w:p w14:paraId="0F4CF1FF" w14:textId="057CE521" w:rsidR="000D6987" w:rsidRPr="00E56E71" w:rsidRDefault="001754B7" w:rsidP="604C4E23">
            <w:pPr>
              <w:rPr>
                <w:rFonts w:ascii="Calibri" w:hAnsi="Calibri" w:cs="Calibri"/>
                <w:sz w:val="19"/>
                <w:szCs w:val="19"/>
                <w:lang w:val="en-US"/>
              </w:rPr>
            </w:pPr>
            <w:r w:rsidRPr="604C4E23">
              <w:rPr>
                <w:rFonts w:ascii="Calibri" w:hAnsi="Calibri" w:cs="Calibri"/>
                <w:sz w:val="19"/>
                <w:szCs w:val="19"/>
                <w:lang w:val="en-US"/>
              </w:rPr>
              <w:t xml:space="preserve">Staff are confident in embedding </w:t>
            </w:r>
            <w:proofErr w:type="gramStart"/>
            <w:r w:rsidRPr="604C4E23">
              <w:rPr>
                <w:rFonts w:ascii="Calibri" w:hAnsi="Calibri" w:cs="Calibri"/>
                <w:sz w:val="19"/>
                <w:szCs w:val="19"/>
                <w:lang w:val="en-US"/>
              </w:rPr>
              <w:t>careers</w:t>
            </w:r>
            <w:r w:rsidR="00B52C96" w:rsidRPr="604C4E23">
              <w:rPr>
                <w:rFonts w:ascii="Calibri" w:hAnsi="Calibri" w:cs="Calibri"/>
                <w:sz w:val="19"/>
                <w:szCs w:val="19"/>
                <w:lang w:val="en-US"/>
              </w:rPr>
              <w:t>, and</w:t>
            </w:r>
            <w:proofErr w:type="gramEnd"/>
            <w:r w:rsidR="00B52C96" w:rsidRPr="604C4E23">
              <w:rPr>
                <w:rFonts w:ascii="Calibri" w:hAnsi="Calibri" w:cs="Calibri"/>
                <w:sz w:val="19"/>
                <w:szCs w:val="19"/>
                <w:lang w:val="en-US"/>
              </w:rPr>
              <w:t xml:space="preserve"> have opportunities to share feedback with the </w:t>
            </w:r>
            <w:r w:rsidR="32AF82AD" w:rsidRPr="604C4E23">
              <w:rPr>
                <w:rFonts w:ascii="Calibri" w:hAnsi="Calibri" w:cs="Calibri"/>
                <w:sz w:val="19"/>
                <w:szCs w:val="19"/>
                <w:lang w:val="en-US"/>
              </w:rPr>
              <w:t>CL</w:t>
            </w:r>
            <w:r w:rsidR="00B52C96" w:rsidRPr="604C4E23">
              <w:rPr>
                <w:rFonts w:ascii="Calibri" w:hAnsi="Calibri" w:cs="Calibri"/>
                <w:sz w:val="19"/>
                <w:szCs w:val="19"/>
                <w:lang w:val="en-US"/>
              </w:rPr>
              <w:t xml:space="preserve">. Careers </w:t>
            </w:r>
            <w:proofErr w:type="gramStart"/>
            <w:r w:rsidR="00B52C96" w:rsidRPr="604C4E23">
              <w:rPr>
                <w:rFonts w:ascii="Calibri" w:hAnsi="Calibri" w:cs="Calibri"/>
                <w:sz w:val="19"/>
                <w:szCs w:val="19"/>
                <w:lang w:val="en-US"/>
              </w:rPr>
              <w:t>is</w:t>
            </w:r>
            <w:proofErr w:type="gramEnd"/>
            <w:r w:rsidR="00B52C96" w:rsidRPr="604C4E23">
              <w:rPr>
                <w:rFonts w:ascii="Calibri" w:hAnsi="Calibri" w:cs="Calibri"/>
                <w:sz w:val="19"/>
                <w:szCs w:val="19"/>
                <w:lang w:val="en-US"/>
              </w:rPr>
              <w:t xml:space="preserve"> </w:t>
            </w:r>
            <w:r w:rsidR="003B0206" w:rsidRPr="604C4E23">
              <w:rPr>
                <w:rFonts w:ascii="Calibri" w:hAnsi="Calibri" w:cs="Calibri"/>
                <w:sz w:val="19"/>
                <w:szCs w:val="19"/>
                <w:lang w:val="en-US"/>
              </w:rPr>
              <w:t xml:space="preserve">discussed in </w:t>
            </w:r>
            <w:r w:rsidR="00A72ACC" w:rsidRPr="604C4E23">
              <w:rPr>
                <w:rFonts w:ascii="Calibri" w:hAnsi="Calibri" w:cs="Calibri"/>
                <w:sz w:val="19"/>
                <w:szCs w:val="19"/>
                <w:lang w:val="en-US"/>
              </w:rPr>
              <w:t xml:space="preserve">department </w:t>
            </w:r>
            <w:r w:rsidR="003B0206" w:rsidRPr="604C4E23">
              <w:rPr>
                <w:rFonts w:ascii="Calibri" w:hAnsi="Calibri" w:cs="Calibri"/>
                <w:sz w:val="19"/>
                <w:szCs w:val="19"/>
                <w:lang w:val="en-US"/>
              </w:rPr>
              <w:t>planning meetings</w:t>
            </w:r>
            <w:r w:rsidR="00B52C96" w:rsidRPr="604C4E23">
              <w:rPr>
                <w:rFonts w:ascii="Calibri" w:hAnsi="Calibri" w:cs="Calibri"/>
                <w:sz w:val="19"/>
                <w:szCs w:val="19"/>
                <w:lang w:val="en-US"/>
              </w:rPr>
              <w:t xml:space="preserve">, and best practice shared. </w:t>
            </w:r>
            <w:r w:rsidR="003B0206" w:rsidRPr="604C4E23">
              <w:rPr>
                <w:rFonts w:ascii="Calibri" w:hAnsi="Calibri" w:cs="Calibri"/>
                <w:sz w:val="19"/>
                <w:szCs w:val="19"/>
                <w:lang w:val="en-US"/>
              </w:rPr>
              <w:t xml:space="preserve"> </w:t>
            </w:r>
            <w:r w:rsidR="005846BC" w:rsidRPr="604C4E23">
              <w:rPr>
                <w:rFonts w:ascii="Calibri" w:hAnsi="Calibri" w:cs="Calibri"/>
                <w:sz w:val="19"/>
                <w:szCs w:val="19"/>
                <w:lang w:val="en-US"/>
              </w:rPr>
              <w:t xml:space="preserve"> </w:t>
            </w:r>
          </w:p>
        </w:tc>
        <w:tc>
          <w:tcPr>
            <w:tcW w:w="992" w:type="dxa"/>
          </w:tcPr>
          <w:p w14:paraId="15EC6AC1" w14:textId="77777777" w:rsidR="000D6987" w:rsidRPr="009556E4" w:rsidRDefault="000D6987">
            <w:pPr>
              <w:rPr>
                <w:rFonts w:ascii="Calibri" w:hAnsi="Calibri" w:cs="Calibri"/>
                <w:sz w:val="22"/>
                <w:szCs w:val="22"/>
                <w:lang w:val="en-US"/>
              </w:rPr>
            </w:pPr>
          </w:p>
        </w:tc>
        <w:tc>
          <w:tcPr>
            <w:tcW w:w="3552" w:type="dxa"/>
          </w:tcPr>
          <w:p w14:paraId="29C81A8C" w14:textId="77777777" w:rsidR="000D6987" w:rsidRPr="009556E4" w:rsidRDefault="000D6987">
            <w:pPr>
              <w:rPr>
                <w:rFonts w:ascii="Calibri" w:hAnsi="Calibri" w:cs="Calibri"/>
                <w:sz w:val="22"/>
                <w:szCs w:val="22"/>
                <w:lang w:val="en-US"/>
              </w:rPr>
            </w:pPr>
          </w:p>
        </w:tc>
        <w:tc>
          <w:tcPr>
            <w:tcW w:w="3816" w:type="dxa"/>
          </w:tcPr>
          <w:p w14:paraId="7CAF3BAE" w14:textId="77777777" w:rsidR="000D6987" w:rsidRPr="009556E4" w:rsidRDefault="000D6987">
            <w:pPr>
              <w:rPr>
                <w:rFonts w:ascii="Calibri" w:hAnsi="Calibri" w:cs="Calibri"/>
                <w:sz w:val="22"/>
                <w:szCs w:val="22"/>
                <w:lang w:val="en-US"/>
              </w:rPr>
            </w:pPr>
          </w:p>
        </w:tc>
      </w:tr>
    </w:tbl>
    <w:p w14:paraId="3FE143A0" w14:textId="77777777" w:rsidR="00AB5C75" w:rsidRDefault="00AB5C75" w:rsidP="007C0EE1">
      <w:pPr>
        <w:rPr>
          <w:lang w:val="en-US"/>
        </w:rPr>
      </w:pPr>
    </w:p>
    <w:sectPr w:rsidR="00AB5C75" w:rsidSect="00D24804">
      <w:head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B9BF8" w14:textId="77777777" w:rsidR="00C21D84" w:rsidRDefault="00C21D84" w:rsidP="008E1276">
      <w:pPr>
        <w:spacing w:after="0" w:line="240" w:lineRule="auto"/>
      </w:pPr>
      <w:r>
        <w:separator/>
      </w:r>
    </w:p>
  </w:endnote>
  <w:endnote w:type="continuationSeparator" w:id="0">
    <w:p w14:paraId="46CC77E0" w14:textId="77777777" w:rsidR="00C21D84" w:rsidRDefault="00C21D84" w:rsidP="008E1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7BCC6" w14:textId="77777777" w:rsidR="00C21D84" w:rsidRDefault="00C21D84" w:rsidP="008E1276">
      <w:pPr>
        <w:spacing w:after="0" w:line="240" w:lineRule="auto"/>
      </w:pPr>
      <w:r>
        <w:separator/>
      </w:r>
    </w:p>
  </w:footnote>
  <w:footnote w:type="continuationSeparator" w:id="0">
    <w:p w14:paraId="0C172D5E" w14:textId="77777777" w:rsidR="00C21D84" w:rsidRDefault="00C21D84" w:rsidP="008E12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0568A" w14:textId="6C38D074" w:rsidR="008E1276" w:rsidRDefault="008E1276">
    <w:pPr>
      <w:pStyle w:val="Header"/>
    </w:pPr>
    <w:r>
      <w:rPr>
        <w:noProof/>
        <w:lang w:val="en-US"/>
      </w:rPr>
      <w:drawing>
        <wp:anchor distT="0" distB="0" distL="114300" distR="114300" simplePos="0" relativeHeight="251658240" behindDoc="0" locked="0" layoutInCell="1" allowOverlap="1" wp14:anchorId="5AA1D0A0" wp14:editId="237BC00E">
          <wp:simplePos x="0" y="0"/>
          <wp:positionH relativeFrom="page">
            <wp:posOffset>7677150</wp:posOffset>
          </wp:positionH>
          <wp:positionV relativeFrom="paragraph">
            <wp:posOffset>-286385</wp:posOffset>
          </wp:positionV>
          <wp:extent cx="2921635" cy="748030"/>
          <wp:effectExtent l="0" t="0" r="0" b="0"/>
          <wp:wrapSquare wrapText="bothSides"/>
          <wp:docPr id="2117653900" name="Picture 1" descr="A black screen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653900" name="Picture 1" descr="A black screen with blue text&#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21635" cy="7480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57E07"/>
    <w:multiLevelType w:val="hybridMultilevel"/>
    <w:tmpl w:val="324E3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7A6A52"/>
    <w:multiLevelType w:val="hybridMultilevel"/>
    <w:tmpl w:val="D4124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EA3B71"/>
    <w:multiLevelType w:val="hybridMultilevel"/>
    <w:tmpl w:val="518E1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3415880">
    <w:abstractNumId w:val="0"/>
  </w:num>
  <w:num w:numId="2" w16cid:durableId="194320182">
    <w:abstractNumId w:val="2"/>
  </w:num>
  <w:num w:numId="3" w16cid:durableId="7783312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00C"/>
    <w:rsid w:val="00005A31"/>
    <w:rsid w:val="00017EEC"/>
    <w:rsid w:val="0003458E"/>
    <w:rsid w:val="0008564E"/>
    <w:rsid w:val="00094E1A"/>
    <w:rsid w:val="000A20AA"/>
    <w:rsid w:val="000A6084"/>
    <w:rsid w:val="000C389E"/>
    <w:rsid w:val="000D6987"/>
    <w:rsid w:val="00110419"/>
    <w:rsid w:val="00120424"/>
    <w:rsid w:val="001243BC"/>
    <w:rsid w:val="0013443C"/>
    <w:rsid w:val="00142FA6"/>
    <w:rsid w:val="0015355B"/>
    <w:rsid w:val="00155274"/>
    <w:rsid w:val="00163C91"/>
    <w:rsid w:val="001754B7"/>
    <w:rsid w:val="001A1436"/>
    <w:rsid w:val="001A44A8"/>
    <w:rsid w:val="001B41F1"/>
    <w:rsid w:val="001C1DE5"/>
    <w:rsid w:val="001C30D0"/>
    <w:rsid w:val="001D309B"/>
    <w:rsid w:val="001E005F"/>
    <w:rsid w:val="001E7088"/>
    <w:rsid w:val="00207A9E"/>
    <w:rsid w:val="002271C5"/>
    <w:rsid w:val="00230C31"/>
    <w:rsid w:val="002338DB"/>
    <w:rsid w:val="002616FC"/>
    <w:rsid w:val="00262560"/>
    <w:rsid w:val="002752B4"/>
    <w:rsid w:val="00283C76"/>
    <w:rsid w:val="002B7DFB"/>
    <w:rsid w:val="002C4723"/>
    <w:rsid w:val="002C4D4C"/>
    <w:rsid w:val="002C6E48"/>
    <w:rsid w:val="002E6A34"/>
    <w:rsid w:val="00301D95"/>
    <w:rsid w:val="00311C60"/>
    <w:rsid w:val="00313997"/>
    <w:rsid w:val="003357BB"/>
    <w:rsid w:val="00344B79"/>
    <w:rsid w:val="003563C1"/>
    <w:rsid w:val="00362DFB"/>
    <w:rsid w:val="003748BF"/>
    <w:rsid w:val="003B0206"/>
    <w:rsid w:val="003C24F3"/>
    <w:rsid w:val="003C777B"/>
    <w:rsid w:val="003D6B6D"/>
    <w:rsid w:val="003F525F"/>
    <w:rsid w:val="003F7B98"/>
    <w:rsid w:val="00411652"/>
    <w:rsid w:val="004141B8"/>
    <w:rsid w:val="00415FFE"/>
    <w:rsid w:val="0041789B"/>
    <w:rsid w:val="004205DF"/>
    <w:rsid w:val="00422736"/>
    <w:rsid w:val="00435D0A"/>
    <w:rsid w:val="00444425"/>
    <w:rsid w:val="00450B3F"/>
    <w:rsid w:val="0045208E"/>
    <w:rsid w:val="0045291A"/>
    <w:rsid w:val="0045343D"/>
    <w:rsid w:val="004A1485"/>
    <w:rsid w:val="004A62FF"/>
    <w:rsid w:val="004B51B7"/>
    <w:rsid w:val="004B6E84"/>
    <w:rsid w:val="00515ED5"/>
    <w:rsid w:val="00523F07"/>
    <w:rsid w:val="00530482"/>
    <w:rsid w:val="005373F9"/>
    <w:rsid w:val="005529AD"/>
    <w:rsid w:val="00571027"/>
    <w:rsid w:val="00577689"/>
    <w:rsid w:val="005846BC"/>
    <w:rsid w:val="005912E1"/>
    <w:rsid w:val="00593C00"/>
    <w:rsid w:val="005A1190"/>
    <w:rsid w:val="005A7D22"/>
    <w:rsid w:val="005C524B"/>
    <w:rsid w:val="005E473D"/>
    <w:rsid w:val="005F2B4C"/>
    <w:rsid w:val="00603EBD"/>
    <w:rsid w:val="006119A1"/>
    <w:rsid w:val="00613E63"/>
    <w:rsid w:val="00626609"/>
    <w:rsid w:val="006745C7"/>
    <w:rsid w:val="00682C62"/>
    <w:rsid w:val="006A687A"/>
    <w:rsid w:val="006B06AC"/>
    <w:rsid w:val="006D20BD"/>
    <w:rsid w:val="006F5AD7"/>
    <w:rsid w:val="0070744A"/>
    <w:rsid w:val="00710EF2"/>
    <w:rsid w:val="00726190"/>
    <w:rsid w:val="00732DF3"/>
    <w:rsid w:val="007438BC"/>
    <w:rsid w:val="00754A67"/>
    <w:rsid w:val="00767DEF"/>
    <w:rsid w:val="00782B88"/>
    <w:rsid w:val="00783020"/>
    <w:rsid w:val="00791798"/>
    <w:rsid w:val="007A7088"/>
    <w:rsid w:val="007A717B"/>
    <w:rsid w:val="007B47F3"/>
    <w:rsid w:val="007B7AB7"/>
    <w:rsid w:val="007C0EE1"/>
    <w:rsid w:val="007C10D0"/>
    <w:rsid w:val="007C6CCB"/>
    <w:rsid w:val="007D7F14"/>
    <w:rsid w:val="007F0B72"/>
    <w:rsid w:val="007F47BD"/>
    <w:rsid w:val="00801224"/>
    <w:rsid w:val="00803962"/>
    <w:rsid w:val="00806433"/>
    <w:rsid w:val="0081137F"/>
    <w:rsid w:val="00811B0E"/>
    <w:rsid w:val="00812658"/>
    <w:rsid w:val="008328AE"/>
    <w:rsid w:val="008632E2"/>
    <w:rsid w:val="008714EA"/>
    <w:rsid w:val="0087199F"/>
    <w:rsid w:val="00875BF0"/>
    <w:rsid w:val="00881453"/>
    <w:rsid w:val="0088740A"/>
    <w:rsid w:val="00893584"/>
    <w:rsid w:val="008B0854"/>
    <w:rsid w:val="008C0408"/>
    <w:rsid w:val="008D7066"/>
    <w:rsid w:val="008E1276"/>
    <w:rsid w:val="008F0B68"/>
    <w:rsid w:val="00914E6B"/>
    <w:rsid w:val="00932FC1"/>
    <w:rsid w:val="0093585A"/>
    <w:rsid w:val="0094689E"/>
    <w:rsid w:val="009556E4"/>
    <w:rsid w:val="00961F3A"/>
    <w:rsid w:val="00981DA2"/>
    <w:rsid w:val="009A0C9D"/>
    <w:rsid w:val="009B32BB"/>
    <w:rsid w:val="009C7609"/>
    <w:rsid w:val="009D1B48"/>
    <w:rsid w:val="00A03FE9"/>
    <w:rsid w:val="00A5202F"/>
    <w:rsid w:val="00A55CA2"/>
    <w:rsid w:val="00A612A4"/>
    <w:rsid w:val="00A65D64"/>
    <w:rsid w:val="00A72ACC"/>
    <w:rsid w:val="00A812AF"/>
    <w:rsid w:val="00A84FB6"/>
    <w:rsid w:val="00AA398F"/>
    <w:rsid w:val="00AB5C75"/>
    <w:rsid w:val="00AB72F6"/>
    <w:rsid w:val="00AD3D89"/>
    <w:rsid w:val="00B123E3"/>
    <w:rsid w:val="00B31401"/>
    <w:rsid w:val="00B32EC1"/>
    <w:rsid w:val="00B36E9B"/>
    <w:rsid w:val="00B52C96"/>
    <w:rsid w:val="00B60779"/>
    <w:rsid w:val="00B65A3A"/>
    <w:rsid w:val="00B7673E"/>
    <w:rsid w:val="00BA4071"/>
    <w:rsid w:val="00BB5690"/>
    <w:rsid w:val="00BC4FF8"/>
    <w:rsid w:val="00BD1228"/>
    <w:rsid w:val="00BD300C"/>
    <w:rsid w:val="00BD35B1"/>
    <w:rsid w:val="00BD62A5"/>
    <w:rsid w:val="00BF5E90"/>
    <w:rsid w:val="00C21D84"/>
    <w:rsid w:val="00C31DB2"/>
    <w:rsid w:val="00C43C2E"/>
    <w:rsid w:val="00C637ED"/>
    <w:rsid w:val="00C75FFB"/>
    <w:rsid w:val="00CB198F"/>
    <w:rsid w:val="00CB1CF1"/>
    <w:rsid w:val="00CB6FA8"/>
    <w:rsid w:val="00CC2C34"/>
    <w:rsid w:val="00CC36D4"/>
    <w:rsid w:val="00CD470B"/>
    <w:rsid w:val="00CF1994"/>
    <w:rsid w:val="00D03889"/>
    <w:rsid w:val="00D24804"/>
    <w:rsid w:val="00D32A29"/>
    <w:rsid w:val="00D345F6"/>
    <w:rsid w:val="00D44D5A"/>
    <w:rsid w:val="00D57897"/>
    <w:rsid w:val="00D6263A"/>
    <w:rsid w:val="00D6666F"/>
    <w:rsid w:val="00DA599D"/>
    <w:rsid w:val="00DB0A15"/>
    <w:rsid w:val="00DC3160"/>
    <w:rsid w:val="00DF0B52"/>
    <w:rsid w:val="00E1727C"/>
    <w:rsid w:val="00E56E71"/>
    <w:rsid w:val="00E8258D"/>
    <w:rsid w:val="00EA1F72"/>
    <w:rsid w:val="00EA5694"/>
    <w:rsid w:val="00ED4040"/>
    <w:rsid w:val="00EF5374"/>
    <w:rsid w:val="00F21F26"/>
    <w:rsid w:val="00F24216"/>
    <w:rsid w:val="00F51E28"/>
    <w:rsid w:val="00F6239E"/>
    <w:rsid w:val="00F65302"/>
    <w:rsid w:val="00FD7E1E"/>
    <w:rsid w:val="00FE6155"/>
    <w:rsid w:val="0FC3566D"/>
    <w:rsid w:val="18BA1D64"/>
    <w:rsid w:val="2ABF2D7B"/>
    <w:rsid w:val="32AF82AD"/>
    <w:rsid w:val="604C4E23"/>
    <w:rsid w:val="675B2918"/>
    <w:rsid w:val="68B12C4F"/>
    <w:rsid w:val="7162D2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B7A3C"/>
  <w15:chartTrackingRefBased/>
  <w15:docId w15:val="{602BF702-CF9F-4B59-8E54-8E6B58BDF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30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30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30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30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30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30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30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30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30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30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30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30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30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30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30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30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30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300C"/>
    <w:rPr>
      <w:rFonts w:eastAsiaTheme="majorEastAsia" w:cstheme="majorBidi"/>
      <w:color w:val="272727" w:themeColor="text1" w:themeTint="D8"/>
    </w:rPr>
  </w:style>
  <w:style w:type="paragraph" w:styleId="Title">
    <w:name w:val="Title"/>
    <w:basedOn w:val="Normal"/>
    <w:next w:val="Normal"/>
    <w:link w:val="TitleChar"/>
    <w:uiPriority w:val="10"/>
    <w:qFormat/>
    <w:rsid w:val="00BD30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30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30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30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300C"/>
    <w:pPr>
      <w:spacing w:before="160"/>
      <w:jc w:val="center"/>
    </w:pPr>
    <w:rPr>
      <w:i/>
      <w:iCs/>
      <w:color w:val="404040" w:themeColor="text1" w:themeTint="BF"/>
    </w:rPr>
  </w:style>
  <w:style w:type="character" w:customStyle="1" w:styleId="QuoteChar">
    <w:name w:val="Quote Char"/>
    <w:basedOn w:val="DefaultParagraphFont"/>
    <w:link w:val="Quote"/>
    <w:uiPriority w:val="29"/>
    <w:rsid w:val="00BD300C"/>
    <w:rPr>
      <w:i/>
      <w:iCs/>
      <w:color w:val="404040" w:themeColor="text1" w:themeTint="BF"/>
    </w:rPr>
  </w:style>
  <w:style w:type="paragraph" w:styleId="ListParagraph">
    <w:name w:val="List Paragraph"/>
    <w:basedOn w:val="Normal"/>
    <w:uiPriority w:val="34"/>
    <w:qFormat/>
    <w:rsid w:val="00BD300C"/>
    <w:pPr>
      <w:ind w:left="720"/>
      <w:contextualSpacing/>
    </w:pPr>
  </w:style>
  <w:style w:type="character" w:styleId="IntenseEmphasis">
    <w:name w:val="Intense Emphasis"/>
    <w:basedOn w:val="DefaultParagraphFont"/>
    <w:uiPriority w:val="21"/>
    <w:qFormat/>
    <w:rsid w:val="00BD300C"/>
    <w:rPr>
      <w:i/>
      <w:iCs/>
      <w:color w:val="0F4761" w:themeColor="accent1" w:themeShade="BF"/>
    </w:rPr>
  </w:style>
  <w:style w:type="paragraph" w:styleId="IntenseQuote">
    <w:name w:val="Intense Quote"/>
    <w:basedOn w:val="Normal"/>
    <w:next w:val="Normal"/>
    <w:link w:val="IntenseQuoteChar"/>
    <w:uiPriority w:val="30"/>
    <w:qFormat/>
    <w:rsid w:val="00BD30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300C"/>
    <w:rPr>
      <w:i/>
      <w:iCs/>
      <w:color w:val="0F4761" w:themeColor="accent1" w:themeShade="BF"/>
    </w:rPr>
  </w:style>
  <w:style w:type="character" w:styleId="IntenseReference">
    <w:name w:val="Intense Reference"/>
    <w:basedOn w:val="DefaultParagraphFont"/>
    <w:uiPriority w:val="32"/>
    <w:qFormat/>
    <w:rsid w:val="00BD300C"/>
    <w:rPr>
      <w:b/>
      <w:bCs/>
      <w:smallCaps/>
      <w:color w:val="0F4761" w:themeColor="accent1" w:themeShade="BF"/>
      <w:spacing w:val="5"/>
    </w:rPr>
  </w:style>
  <w:style w:type="character" w:styleId="Hyperlink">
    <w:name w:val="Hyperlink"/>
    <w:basedOn w:val="DefaultParagraphFont"/>
    <w:uiPriority w:val="99"/>
    <w:unhideWhenUsed/>
    <w:rsid w:val="00CC36D4"/>
    <w:rPr>
      <w:color w:val="467886" w:themeColor="hyperlink"/>
      <w:u w:val="single"/>
    </w:rPr>
  </w:style>
  <w:style w:type="character" w:styleId="UnresolvedMention">
    <w:name w:val="Unresolved Mention"/>
    <w:basedOn w:val="DefaultParagraphFont"/>
    <w:uiPriority w:val="99"/>
    <w:semiHidden/>
    <w:unhideWhenUsed/>
    <w:rsid w:val="00CC36D4"/>
    <w:rPr>
      <w:color w:val="605E5C"/>
      <w:shd w:val="clear" w:color="auto" w:fill="E1DFDD"/>
    </w:rPr>
  </w:style>
  <w:style w:type="table" w:styleId="TableGrid">
    <w:name w:val="Table Grid"/>
    <w:basedOn w:val="TableNormal"/>
    <w:uiPriority w:val="39"/>
    <w:rsid w:val="003139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E12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1276"/>
  </w:style>
  <w:style w:type="paragraph" w:styleId="Footer">
    <w:name w:val="footer"/>
    <w:basedOn w:val="Normal"/>
    <w:link w:val="FooterChar"/>
    <w:uiPriority w:val="99"/>
    <w:unhideWhenUsed/>
    <w:rsid w:val="008E12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12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careershub.southmidlands.org.uk/schools-colleges/gatsby-benchmarks/benchmark-4/"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303E00B1D2A6489FA49A3284897530" ma:contentTypeVersion="19" ma:contentTypeDescription="Create a new document." ma:contentTypeScope="" ma:versionID="cc042efc4657e60810582a4929b29558">
  <xsd:schema xmlns:xsd="http://www.w3.org/2001/XMLSchema" xmlns:xs="http://www.w3.org/2001/XMLSchema" xmlns:p="http://schemas.microsoft.com/office/2006/metadata/properties" xmlns:ns2="836070ae-bedd-4c8b-98d2-72b5379e158e" xmlns:ns3="b3e6cb3d-b9a4-4d6c-b20d-c65c846de810" targetNamespace="http://schemas.microsoft.com/office/2006/metadata/properties" ma:root="true" ma:fieldsID="177ffe6eeead91aaae60b637871c5620" ns2:_="" ns3:_="">
    <xsd:import namespace="836070ae-bedd-4c8b-98d2-72b5379e158e"/>
    <xsd:import namespace="b3e6cb3d-b9a4-4d6c-b20d-c65c846de81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6070ae-bedd-4c8b-98d2-72b5379e15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f3e5031-7500-42a2-b1b9-89fc153e5d5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e6cb3d-b9a4-4d6c-b20d-c65c846de81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3b67ef8-2bbb-458a-afda-b9486a83c130}" ma:internalName="TaxCatchAll" ma:showField="CatchAllData" ma:web="b3e6cb3d-b9a4-4d6c-b20d-c65c846de8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3e6cb3d-b9a4-4d6c-b20d-c65c846de810" xsi:nil="true"/>
    <lcf76f155ced4ddcb4097134ff3c332f xmlns="836070ae-bedd-4c8b-98d2-72b5379e158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F11C83-1D26-4534-AEC7-A64D1ECFE9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6070ae-bedd-4c8b-98d2-72b5379e158e"/>
    <ds:schemaRef ds:uri="b3e6cb3d-b9a4-4d6c-b20d-c65c846de8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8D7958-DA3A-4DFB-939E-9EA98B76A68D}">
  <ds:schemaRefs>
    <ds:schemaRef ds:uri="http://schemas.microsoft.com/office/2006/metadata/properties"/>
    <ds:schemaRef ds:uri="http://schemas.microsoft.com/office/infopath/2007/PartnerControls"/>
    <ds:schemaRef ds:uri="b3e6cb3d-b9a4-4d6c-b20d-c65c846de810"/>
    <ds:schemaRef ds:uri="836070ae-bedd-4c8b-98d2-72b5379e158e"/>
  </ds:schemaRefs>
</ds:datastoreItem>
</file>

<file path=customXml/itemProps3.xml><?xml version="1.0" encoding="utf-8"?>
<ds:datastoreItem xmlns:ds="http://schemas.openxmlformats.org/officeDocument/2006/customXml" ds:itemID="{AB5C08A1-91C8-452B-A857-49CF5B3335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495</Words>
  <Characters>2897</Characters>
  <Application>Microsoft Office Word</Application>
  <DocSecurity>0</DocSecurity>
  <Lines>206</Lines>
  <Paragraphs>48</Paragraphs>
  <ScaleCrop>false</ScaleCrop>
  <Company/>
  <LinksUpToDate>false</LinksUpToDate>
  <CharactersWithSpaces>3344</CharactersWithSpaces>
  <SharedDoc>false</SharedDoc>
  <HLinks>
    <vt:vector size="6" baseType="variant">
      <vt:variant>
        <vt:i4>2490493</vt:i4>
      </vt:variant>
      <vt:variant>
        <vt:i4>0</vt:i4>
      </vt:variant>
      <vt:variant>
        <vt:i4>0</vt:i4>
      </vt:variant>
      <vt:variant>
        <vt:i4>5</vt:i4>
      </vt:variant>
      <vt:variant>
        <vt:lpwstr>https://view.officeapps.live.com/op/view.aspx?src=https%3A%2F%2Fcareershub.southmidlands.org.uk%2Fwp-content%2Fuploads%2Fsites%2F3%2F2025%2F11%2FDepartment-Grouping-Tool.docx&amp;wdOrigin=BROWSELINK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Latimer</dc:creator>
  <cp:keywords/>
  <dc:description/>
  <cp:lastModifiedBy>Sarah Latimer</cp:lastModifiedBy>
  <cp:revision>2</cp:revision>
  <dcterms:created xsi:type="dcterms:W3CDTF">2026-02-12T08:14:00Z</dcterms:created>
  <dcterms:modified xsi:type="dcterms:W3CDTF">2026-02-12T08:14:00Z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0x010100F2303E00B1D2A6489FA49A3284897530</vt:lpwstr>
  </property>
  <property fmtid="{D5CDD505-2E9C-101B-9397-08002B2CF9AE}" pid="3" name="MediaServiceImageTags">
    <vt:lpwstr/>
  </property>
</Properties>
</file>